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方正小标宋_GBK" w:hAnsi="仿宋" w:eastAsia="方正小标宋_GBK"/>
          <w:sz w:val="36"/>
          <w:szCs w:val="36"/>
        </w:rPr>
      </w:pPr>
      <w:r>
        <w:rPr>
          <w:rFonts w:hint="eastAsia" w:ascii="方正小标宋_GBK" w:hAnsi="仿宋" w:eastAsia="方正小标宋_GBK"/>
          <w:sz w:val="36"/>
          <w:szCs w:val="36"/>
        </w:rPr>
        <w:t>广</w:t>
      </w:r>
      <w:bookmarkStart w:id="6" w:name="_GoBack"/>
      <w:bookmarkEnd w:id="6"/>
      <w:r>
        <w:rPr>
          <w:rFonts w:hint="eastAsia" w:ascii="方正小标宋_GBK" w:hAnsi="仿宋" w:eastAsia="方正小标宋_GBK"/>
          <w:sz w:val="36"/>
          <w:szCs w:val="36"/>
        </w:rPr>
        <w:t>东省市政行业协会专家管理办法</w:t>
      </w:r>
    </w:p>
    <w:p>
      <w:pPr>
        <w:jc w:val="center"/>
        <w:rPr>
          <w:rFonts w:ascii="仿宋" w:hAnsi="仿宋" w:eastAsia="仿宋"/>
          <w:b/>
          <w:bCs/>
          <w:sz w:val="28"/>
          <w:szCs w:val="28"/>
        </w:rPr>
      </w:pPr>
      <w:r>
        <w:rPr>
          <w:rFonts w:hint="eastAsia" w:ascii="仿宋" w:hAnsi="仿宋" w:eastAsia="仿宋"/>
          <w:b/>
          <w:bCs/>
          <w:sz w:val="28"/>
          <w:szCs w:val="28"/>
        </w:rPr>
        <w:t>第一章  总 则</w:t>
      </w:r>
    </w:p>
    <w:p>
      <w:pPr>
        <w:ind w:firstLine="562" w:firstLineChars="200"/>
        <w:rPr>
          <w:rFonts w:ascii="仿宋" w:hAnsi="仿宋" w:eastAsia="仿宋" w:cs="宋体"/>
          <w:color w:val="000000"/>
          <w:sz w:val="28"/>
          <w:szCs w:val="28"/>
        </w:rPr>
      </w:pPr>
      <w:r>
        <w:rPr>
          <w:rFonts w:hint="eastAsia" w:ascii="仿宋" w:hAnsi="仿宋" w:eastAsia="仿宋"/>
          <w:b/>
          <w:bCs/>
          <w:sz w:val="28"/>
          <w:szCs w:val="28"/>
        </w:rPr>
        <w:t>第一条</w:t>
      </w:r>
      <w:r>
        <w:rPr>
          <w:rFonts w:hint="eastAsia" w:ascii="仿宋" w:hAnsi="仿宋" w:eastAsia="仿宋"/>
          <w:sz w:val="28"/>
          <w:szCs w:val="28"/>
        </w:rPr>
        <w:t xml:space="preserve"> 为提升广东省市政行业协会行业服务水平，推动我会各项技术服务工作深度开展，规范专家库管理，充分发挥行业专家作用，更好地为各级政府、市政行业、会员单位和社会服务，根据《广东省市政行业协会章程》，结合行业工作的实际需要，</w:t>
      </w:r>
      <w:r>
        <w:rPr>
          <w:rFonts w:hint="eastAsia" w:ascii="仿宋" w:hAnsi="仿宋" w:eastAsia="仿宋" w:cs="宋体"/>
          <w:color w:val="000000"/>
          <w:sz w:val="28"/>
          <w:szCs w:val="28"/>
        </w:rPr>
        <w:t>广东省市政行业协会（以下简称“我会”）特制定本办法。</w:t>
      </w:r>
    </w:p>
    <w:p>
      <w:pPr>
        <w:ind w:firstLine="562" w:firstLineChars="200"/>
        <w:rPr>
          <w:rFonts w:ascii="仿宋" w:hAnsi="仿宋" w:eastAsia="仿宋"/>
          <w:sz w:val="28"/>
          <w:szCs w:val="28"/>
        </w:rPr>
      </w:pPr>
      <w:r>
        <w:rPr>
          <w:rFonts w:hint="eastAsia" w:ascii="仿宋" w:hAnsi="仿宋" w:eastAsia="仿宋"/>
          <w:b/>
          <w:bCs/>
          <w:sz w:val="28"/>
          <w:szCs w:val="28"/>
        </w:rPr>
        <w:t xml:space="preserve">第二条 </w:t>
      </w:r>
      <w:r>
        <w:rPr>
          <w:rFonts w:hint="eastAsia" w:ascii="仿宋" w:hAnsi="仿宋" w:eastAsia="仿宋"/>
          <w:sz w:val="28"/>
          <w:szCs w:val="28"/>
        </w:rPr>
        <w:t>本办法中所称专家是指市政公用基础设施工程建设领域企（事）业单位、高等院校、科研院所等单位的专家、学者、高端技术管理人才和具有专业特长的技术人才，且符合本办法规定条件的专业人员。</w:t>
      </w:r>
    </w:p>
    <w:p>
      <w:pPr>
        <w:ind w:firstLine="562" w:firstLineChars="200"/>
        <w:rPr>
          <w:rFonts w:ascii="仿宋" w:hAnsi="仿宋" w:eastAsia="仿宋"/>
          <w:sz w:val="28"/>
          <w:szCs w:val="28"/>
        </w:rPr>
      </w:pPr>
      <w:r>
        <w:rPr>
          <w:rFonts w:hint="eastAsia" w:ascii="仿宋" w:hAnsi="仿宋" w:eastAsia="仿宋"/>
          <w:b/>
          <w:bCs/>
          <w:sz w:val="28"/>
          <w:szCs w:val="28"/>
        </w:rPr>
        <w:t>第三条</w:t>
      </w:r>
      <w:r>
        <w:rPr>
          <w:rFonts w:hint="eastAsia" w:ascii="仿宋" w:hAnsi="仿宋" w:eastAsia="仿宋"/>
          <w:sz w:val="28"/>
          <w:szCs w:val="28"/>
        </w:rPr>
        <w:t xml:space="preserve"> 本办法适用于我会专家委员会、专家库及专家的选拔和管理等工作。</w:t>
      </w:r>
    </w:p>
    <w:p>
      <w:pPr>
        <w:jc w:val="center"/>
        <w:rPr>
          <w:rFonts w:ascii="仿宋" w:hAnsi="仿宋" w:eastAsia="仿宋"/>
          <w:b/>
          <w:bCs/>
          <w:sz w:val="28"/>
          <w:szCs w:val="28"/>
        </w:rPr>
      </w:pPr>
      <w:r>
        <w:rPr>
          <w:rFonts w:hint="eastAsia" w:ascii="仿宋" w:hAnsi="仿宋" w:eastAsia="仿宋"/>
          <w:b/>
          <w:bCs/>
          <w:sz w:val="28"/>
          <w:szCs w:val="28"/>
        </w:rPr>
        <w:t>第二章 组织机构设置及职责</w:t>
      </w:r>
    </w:p>
    <w:p>
      <w:pPr>
        <w:ind w:firstLine="562" w:firstLineChars="200"/>
        <w:rPr>
          <w:rFonts w:ascii="仿宋" w:hAnsi="仿宋" w:eastAsia="仿宋"/>
          <w:sz w:val="28"/>
          <w:szCs w:val="28"/>
        </w:rPr>
      </w:pPr>
      <w:r>
        <w:rPr>
          <w:rFonts w:hint="eastAsia" w:ascii="仿宋" w:hAnsi="仿宋" w:eastAsia="仿宋"/>
          <w:b/>
          <w:bCs/>
          <w:sz w:val="28"/>
          <w:szCs w:val="28"/>
        </w:rPr>
        <w:t>第四条</w:t>
      </w:r>
      <w:r>
        <w:rPr>
          <w:rFonts w:hint="eastAsia" w:ascii="仿宋" w:hAnsi="仿宋" w:eastAsia="仿宋"/>
          <w:sz w:val="28"/>
          <w:szCs w:val="28"/>
        </w:rPr>
        <w:t xml:space="preserve"> 我会专家委员会的组成</w:t>
      </w:r>
    </w:p>
    <w:p>
      <w:pPr>
        <w:ind w:firstLine="560" w:firstLineChars="200"/>
        <w:rPr>
          <w:rFonts w:ascii="仿宋" w:hAnsi="仿宋" w:eastAsia="仿宋"/>
          <w:sz w:val="28"/>
          <w:szCs w:val="28"/>
        </w:rPr>
      </w:pPr>
      <w:r>
        <w:rPr>
          <w:rFonts w:hint="eastAsia" w:ascii="仿宋" w:hAnsi="仿宋" w:eastAsia="仿宋"/>
          <w:sz w:val="28"/>
          <w:szCs w:val="28"/>
        </w:rPr>
        <w:t>专家委员会设主任委员1人、常务副主任委员1人、委员13人。专家委员会由我会会员单位中各地区、各专业领域的资深专家组成；常务副主任委员由我会秘书长担任，主持日常工作。</w:t>
      </w:r>
    </w:p>
    <w:p>
      <w:pPr>
        <w:ind w:firstLine="562" w:firstLineChars="200"/>
        <w:rPr>
          <w:rFonts w:ascii="仿宋" w:hAnsi="仿宋" w:eastAsia="仿宋"/>
          <w:sz w:val="28"/>
          <w:szCs w:val="28"/>
        </w:rPr>
      </w:pPr>
      <w:r>
        <w:rPr>
          <w:rFonts w:hint="eastAsia" w:ascii="仿宋" w:hAnsi="仿宋" w:eastAsia="仿宋"/>
          <w:b/>
          <w:bCs/>
          <w:sz w:val="28"/>
          <w:szCs w:val="28"/>
        </w:rPr>
        <w:t>第五条</w:t>
      </w:r>
      <w:r>
        <w:rPr>
          <w:rFonts w:hint="eastAsia" w:ascii="仿宋" w:hAnsi="仿宋" w:eastAsia="仿宋"/>
          <w:sz w:val="28"/>
          <w:szCs w:val="28"/>
        </w:rPr>
        <w:t xml:space="preserve"> 专家委员会是专家库的直接组织和管理机构，负责：</w:t>
      </w:r>
    </w:p>
    <w:p>
      <w:pPr>
        <w:numPr>
          <w:ilvl w:val="0"/>
          <w:numId w:val="1"/>
        </w:numPr>
        <w:rPr>
          <w:rFonts w:ascii="仿宋" w:hAnsi="仿宋" w:eastAsia="仿宋"/>
          <w:sz w:val="28"/>
          <w:szCs w:val="28"/>
        </w:rPr>
      </w:pPr>
      <w:r>
        <w:rPr>
          <w:rFonts w:hint="eastAsia" w:ascii="仿宋" w:hAnsi="仿宋" w:eastAsia="仿宋"/>
          <w:sz w:val="28"/>
          <w:szCs w:val="28"/>
        </w:rPr>
        <w:t>专家资格审查、人选确定；</w:t>
      </w:r>
    </w:p>
    <w:p>
      <w:pPr>
        <w:numPr>
          <w:ilvl w:val="0"/>
          <w:numId w:val="1"/>
        </w:numPr>
        <w:rPr>
          <w:rFonts w:ascii="仿宋" w:hAnsi="仿宋" w:eastAsia="仿宋"/>
          <w:sz w:val="28"/>
          <w:szCs w:val="28"/>
        </w:rPr>
      </w:pPr>
      <w:r>
        <w:rPr>
          <w:rFonts w:hint="eastAsia" w:ascii="仿宋" w:hAnsi="仿宋" w:eastAsia="仿宋"/>
          <w:sz w:val="28"/>
          <w:szCs w:val="28"/>
        </w:rPr>
        <w:t>专家的年终考评；</w:t>
      </w:r>
    </w:p>
    <w:p>
      <w:pPr>
        <w:numPr>
          <w:ilvl w:val="0"/>
          <w:numId w:val="1"/>
        </w:numPr>
        <w:rPr>
          <w:rFonts w:ascii="仿宋" w:hAnsi="仿宋" w:eastAsia="仿宋"/>
          <w:sz w:val="28"/>
          <w:szCs w:val="28"/>
        </w:rPr>
      </w:pPr>
      <w:r>
        <w:rPr>
          <w:rFonts w:hint="eastAsia" w:ascii="仿宋" w:hAnsi="仿宋" w:eastAsia="仿宋"/>
          <w:sz w:val="28"/>
          <w:szCs w:val="28"/>
        </w:rPr>
        <w:t>审核专家库开展工作方向、重点研究课题和主要工作计划；</w:t>
      </w:r>
    </w:p>
    <w:p>
      <w:pPr>
        <w:numPr>
          <w:ilvl w:val="0"/>
          <w:numId w:val="1"/>
        </w:numPr>
        <w:rPr>
          <w:rFonts w:ascii="仿宋" w:hAnsi="仿宋" w:eastAsia="仿宋"/>
          <w:sz w:val="28"/>
          <w:szCs w:val="28"/>
        </w:rPr>
      </w:pPr>
      <w:r>
        <w:rPr>
          <w:rFonts w:hint="eastAsia" w:ascii="仿宋" w:hAnsi="仿宋" w:eastAsia="仿宋"/>
          <w:sz w:val="28"/>
          <w:szCs w:val="28"/>
        </w:rPr>
        <w:t>负责组织专家开展培训、调研、讲座等技术交流活动。</w:t>
      </w:r>
    </w:p>
    <w:p>
      <w:pPr>
        <w:ind w:firstLine="562" w:firstLineChars="200"/>
        <w:rPr>
          <w:rFonts w:ascii="仿宋" w:hAnsi="仿宋" w:eastAsia="仿宋"/>
          <w:sz w:val="28"/>
          <w:szCs w:val="28"/>
        </w:rPr>
      </w:pPr>
      <w:r>
        <w:rPr>
          <w:rFonts w:hint="eastAsia" w:ascii="仿宋" w:hAnsi="仿宋" w:eastAsia="仿宋"/>
          <w:b/>
          <w:bCs/>
          <w:sz w:val="28"/>
          <w:szCs w:val="28"/>
        </w:rPr>
        <w:t>第六条</w:t>
      </w:r>
      <w:r>
        <w:rPr>
          <w:rFonts w:hint="eastAsia" w:ascii="仿宋" w:hAnsi="仿宋" w:eastAsia="仿宋"/>
          <w:sz w:val="28"/>
          <w:szCs w:val="28"/>
        </w:rPr>
        <w:t xml:space="preserve"> 专家委员会委员应具备以下条件：</w:t>
      </w:r>
    </w:p>
    <w:p>
      <w:pPr>
        <w:numPr>
          <w:ilvl w:val="0"/>
          <w:numId w:val="2"/>
        </w:numPr>
        <w:rPr>
          <w:rFonts w:ascii="仿宋" w:hAnsi="仿宋" w:eastAsia="仿宋"/>
          <w:sz w:val="28"/>
          <w:szCs w:val="28"/>
        </w:rPr>
      </w:pPr>
      <w:r>
        <w:rPr>
          <w:rFonts w:hint="eastAsia" w:ascii="仿宋" w:hAnsi="仿宋" w:eastAsia="仿宋"/>
          <w:sz w:val="28"/>
          <w:szCs w:val="28"/>
        </w:rPr>
        <w:t>作风正派、遵纪守法，有良好的学术道德；</w:t>
      </w:r>
    </w:p>
    <w:p>
      <w:pPr>
        <w:numPr>
          <w:ilvl w:val="0"/>
          <w:numId w:val="2"/>
        </w:numPr>
        <w:rPr>
          <w:rFonts w:ascii="仿宋" w:hAnsi="仿宋" w:eastAsia="仿宋"/>
          <w:sz w:val="28"/>
          <w:szCs w:val="28"/>
        </w:rPr>
      </w:pPr>
      <w:r>
        <w:rPr>
          <w:rFonts w:hint="eastAsia" w:ascii="仿宋" w:hAnsi="仿宋" w:eastAsia="仿宋"/>
          <w:sz w:val="28"/>
          <w:szCs w:val="28"/>
        </w:rPr>
        <w:t>具有正高级专业技术职称，在专业领域有丰富的实践经验，具有较强的技术引领力和社会影响力；</w:t>
      </w:r>
    </w:p>
    <w:p>
      <w:pPr>
        <w:numPr>
          <w:ilvl w:val="0"/>
          <w:numId w:val="2"/>
        </w:numPr>
        <w:rPr>
          <w:rFonts w:ascii="仿宋" w:hAnsi="仿宋" w:eastAsia="仿宋"/>
          <w:sz w:val="28"/>
          <w:szCs w:val="28"/>
        </w:rPr>
      </w:pPr>
      <w:r>
        <w:rPr>
          <w:rFonts w:hint="eastAsia" w:ascii="仿宋" w:hAnsi="仿宋" w:eastAsia="仿宋"/>
          <w:sz w:val="28"/>
          <w:szCs w:val="28"/>
        </w:rPr>
        <w:t>热心为我会发展服务，年龄不超过65周岁。</w:t>
      </w:r>
    </w:p>
    <w:p>
      <w:pPr>
        <w:ind w:firstLine="562" w:firstLineChars="200"/>
        <w:rPr>
          <w:rFonts w:ascii="仿宋" w:hAnsi="仿宋" w:eastAsia="仿宋"/>
          <w:sz w:val="28"/>
          <w:szCs w:val="28"/>
        </w:rPr>
      </w:pPr>
      <w:r>
        <w:rPr>
          <w:rFonts w:hint="eastAsia" w:ascii="仿宋" w:hAnsi="仿宋" w:eastAsia="仿宋"/>
          <w:b/>
          <w:bCs/>
          <w:sz w:val="28"/>
          <w:szCs w:val="28"/>
        </w:rPr>
        <w:t>第七条</w:t>
      </w:r>
      <w:r>
        <w:rPr>
          <w:rFonts w:hint="eastAsia" w:ascii="仿宋" w:hAnsi="仿宋" w:eastAsia="仿宋"/>
          <w:sz w:val="28"/>
          <w:szCs w:val="28"/>
        </w:rPr>
        <w:t xml:space="preserve"> 专家委员会的产生</w:t>
      </w:r>
    </w:p>
    <w:p>
      <w:pPr>
        <w:numPr>
          <w:ilvl w:val="0"/>
          <w:numId w:val="3"/>
        </w:numPr>
        <w:rPr>
          <w:rFonts w:ascii="仿宋" w:hAnsi="仿宋" w:eastAsia="仿宋"/>
          <w:sz w:val="28"/>
          <w:szCs w:val="28"/>
        </w:rPr>
      </w:pPr>
      <w:r>
        <w:rPr>
          <w:rFonts w:hint="eastAsia" w:ascii="仿宋" w:hAnsi="仿宋" w:eastAsia="仿宋"/>
          <w:sz w:val="28"/>
          <w:szCs w:val="28"/>
        </w:rPr>
        <w:t>由各会员单位推荐，经我会秘书处预审后，提出委员人选，经常务理事会批准后产生；</w:t>
      </w:r>
    </w:p>
    <w:p>
      <w:pPr>
        <w:numPr>
          <w:ilvl w:val="0"/>
          <w:numId w:val="3"/>
        </w:numPr>
        <w:rPr>
          <w:rFonts w:ascii="仿宋" w:hAnsi="仿宋" w:eastAsia="仿宋"/>
          <w:sz w:val="28"/>
          <w:szCs w:val="28"/>
        </w:rPr>
      </w:pPr>
      <w:r>
        <w:rPr>
          <w:rFonts w:hint="eastAsia" w:ascii="仿宋" w:hAnsi="仿宋" w:eastAsia="仿宋"/>
          <w:sz w:val="28"/>
          <w:szCs w:val="28"/>
        </w:rPr>
        <w:t>由我会秘书处从委员人选中提出2名候选人，由常务理事会差额选举产生主任委员；</w:t>
      </w:r>
    </w:p>
    <w:p>
      <w:pPr>
        <w:numPr>
          <w:ilvl w:val="0"/>
          <w:numId w:val="3"/>
        </w:numPr>
        <w:rPr>
          <w:rFonts w:ascii="仿宋" w:hAnsi="仿宋" w:eastAsia="仿宋"/>
          <w:sz w:val="28"/>
          <w:szCs w:val="28"/>
        </w:rPr>
      </w:pPr>
      <w:r>
        <w:rPr>
          <w:rFonts w:hint="eastAsia" w:ascii="仿宋" w:hAnsi="仿宋" w:eastAsia="仿宋"/>
          <w:sz w:val="28"/>
          <w:szCs w:val="28"/>
        </w:rPr>
        <w:t>专家委员会委员任期为四年，可连选连任。</w:t>
      </w:r>
    </w:p>
    <w:p>
      <w:pPr>
        <w:ind w:firstLine="562" w:firstLineChars="200"/>
        <w:rPr>
          <w:rFonts w:ascii="仿宋" w:hAnsi="仿宋" w:eastAsia="仿宋"/>
          <w:sz w:val="28"/>
          <w:szCs w:val="28"/>
        </w:rPr>
      </w:pPr>
      <w:r>
        <w:rPr>
          <w:rFonts w:hint="eastAsia" w:ascii="仿宋" w:hAnsi="仿宋" w:eastAsia="仿宋"/>
          <w:b/>
          <w:bCs/>
          <w:sz w:val="28"/>
          <w:szCs w:val="28"/>
        </w:rPr>
        <w:t>第八条</w:t>
      </w:r>
      <w:r>
        <w:rPr>
          <w:rFonts w:hint="eastAsia" w:ascii="仿宋" w:hAnsi="仿宋" w:eastAsia="仿宋"/>
          <w:sz w:val="28"/>
          <w:szCs w:val="28"/>
        </w:rPr>
        <w:t xml:space="preserve"> 专家委员会职责</w:t>
      </w:r>
    </w:p>
    <w:p>
      <w:pPr>
        <w:numPr>
          <w:ilvl w:val="0"/>
          <w:numId w:val="4"/>
        </w:numPr>
        <w:rPr>
          <w:rFonts w:ascii="仿宋" w:hAnsi="仿宋" w:eastAsia="仿宋"/>
          <w:sz w:val="28"/>
          <w:szCs w:val="28"/>
        </w:rPr>
      </w:pPr>
      <w:r>
        <w:rPr>
          <w:rFonts w:hint="eastAsia" w:ascii="仿宋" w:hAnsi="仿宋" w:eastAsia="仿宋"/>
          <w:sz w:val="28"/>
          <w:szCs w:val="28"/>
        </w:rPr>
        <w:t>定期召开专家委员会会议，组织编制年度工作计划，提交年度工作总结；</w:t>
      </w:r>
    </w:p>
    <w:p>
      <w:pPr>
        <w:numPr>
          <w:ilvl w:val="0"/>
          <w:numId w:val="4"/>
        </w:numPr>
        <w:rPr>
          <w:rFonts w:ascii="仿宋" w:hAnsi="仿宋" w:eastAsia="仿宋"/>
          <w:sz w:val="28"/>
          <w:szCs w:val="28"/>
        </w:rPr>
      </w:pPr>
      <w:r>
        <w:rPr>
          <w:rFonts w:hint="eastAsia" w:ascii="仿宋" w:hAnsi="仿宋" w:eastAsia="仿宋"/>
          <w:sz w:val="28"/>
          <w:szCs w:val="28"/>
        </w:rPr>
        <w:t>组织开展业内技术交流，组织推广行业新材料、新产品、新设备、新工艺；</w:t>
      </w:r>
    </w:p>
    <w:p>
      <w:pPr>
        <w:numPr>
          <w:ilvl w:val="0"/>
          <w:numId w:val="4"/>
        </w:numPr>
        <w:rPr>
          <w:rFonts w:ascii="仿宋" w:hAnsi="仿宋" w:eastAsia="仿宋"/>
          <w:sz w:val="28"/>
          <w:szCs w:val="28"/>
        </w:rPr>
      </w:pPr>
      <w:r>
        <w:rPr>
          <w:rFonts w:hint="eastAsia" w:ascii="仿宋" w:hAnsi="仿宋" w:eastAsia="仿宋"/>
          <w:sz w:val="28"/>
          <w:szCs w:val="28"/>
        </w:rPr>
        <w:t>组织鉴定单位会员优秀技术成果和个人优秀论文，审定我会市政工程金奖、科学技术奖；</w:t>
      </w:r>
    </w:p>
    <w:p>
      <w:pPr>
        <w:numPr>
          <w:ilvl w:val="0"/>
          <w:numId w:val="4"/>
        </w:numPr>
        <w:rPr>
          <w:rFonts w:ascii="仿宋" w:hAnsi="仿宋" w:eastAsia="仿宋"/>
          <w:sz w:val="28"/>
          <w:szCs w:val="28"/>
        </w:rPr>
      </w:pPr>
      <w:r>
        <w:rPr>
          <w:rFonts w:hint="eastAsia" w:ascii="仿宋" w:hAnsi="仿宋" w:eastAsia="仿宋"/>
          <w:sz w:val="28"/>
          <w:szCs w:val="28"/>
        </w:rPr>
        <w:t>组织制定及修正专家管理办法，组织开展专家培训和定期考评；</w:t>
      </w:r>
    </w:p>
    <w:p>
      <w:pPr>
        <w:numPr>
          <w:ilvl w:val="0"/>
          <w:numId w:val="4"/>
        </w:numPr>
        <w:rPr>
          <w:rFonts w:ascii="仿宋" w:hAnsi="仿宋" w:eastAsia="仿宋"/>
          <w:sz w:val="28"/>
          <w:szCs w:val="28"/>
        </w:rPr>
      </w:pPr>
      <w:r>
        <w:rPr>
          <w:rFonts w:hint="eastAsia" w:ascii="仿宋" w:hAnsi="仿宋" w:eastAsia="仿宋"/>
          <w:sz w:val="28"/>
          <w:szCs w:val="28"/>
        </w:rPr>
        <w:t>承担我会委托的其它专项技术工作。</w:t>
      </w:r>
    </w:p>
    <w:p>
      <w:pPr>
        <w:rPr>
          <w:rFonts w:ascii="仿宋" w:hAnsi="仿宋" w:eastAsia="仿宋"/>
          <w:sz w:val="28"/>
          <w:szCs w:val="28"/>
        </w:rPr>
      </w:pPr>
    </w:p>
    <w:p>
      <w:pPr>
        <w:jc w:val="center"/>
        <w:rPr>
          <w:rFonts w:ascii="仿宋" w:hAnsi="仿宋" w:eastAsia="仿宋"/>
          <w:b/>
          <w:bCs/>
          <w:sz w:val="28"/>
          <w:szCs w:val="28"/>
        </w:rPr>
      </w:pPr>
      <w:r>
        <w:rPr>
          <w:rFonts w:hint="eastAsia" w:ascii="仿宋" w:hAnsi="仿宋" w:eastAsia="仿宋"/>
          <w:b/>
          <w:bCs/>
          <w:sz w:val="28"/>
          <w:szCs w:val="28"/>
        </w:rPr>
        <w:t>第三章 专家库管理</w:t>
      </w:r>
    </w:p>
    <w:p>
      <w:pPr>
        <w:ind w:firstLine="562" w:firstLineChars="200"/>
        <w:rPr>
          <w:rFonts w:ascii="仿宋" w:hAnsi="仿宋" w:eastAsia="仿宋"/>
          <w:sz w:val="28"/>
          <w:szCs w:val="28"/>
        </w:rPr>
      </w:pPr>
      <w:r>
        <w:rPr>
          <w:rFonts w:hint="eastAsia" w:ascii="仿宋" w:hAnsi="仿宋" w:eastAsia="仿宋"/>
          <w:b/>
          <w:bCs/>
          <w:sz w:val="28"/>
          <w:szCs w:val="28"/>
        </w:rPr>
        <w:t>第九条</w:t>
      </w:r>
      <w:r>
        <w:rPr>
          <w:rFonts w:hint="eastAsia" w:ascii="仿宋" w:hAnsi="仿宋" w:eastAsia="仿宋"/>
          <w:sz w:val="28"/>
          <w:szCs w:val="28"/>
        </w:rPr>
        <w:t xml:space="preserve"> 专家库的建设</w:t>
      </w:r>
    </w:p>
    <w:p>
      <w:pPr>
        <w:numPr>
          <w:ilvl w:val="0"/>
          <w:numId w:val="5"/>
        </w:numPr>
        <w:rPr>
          <w:rFonts w:ascii="仿宋" w:hAnsi="仿宋" w:eastAsia="仿宋"/>
          <w:sz w:val="28"/>
          <w:szCs w:val="28"/>
        </w:rPr>
      </w:pPr>
      <w:r>
        <w:rPr>
          <w:rFonts w:hint="eastAsia" w:ascii="仿宋" w:hAnsi="仿宋" w:eastAsia="仿宋"/>
          <w:sz w:val="28"/>
          <w:szCs w:val="28"/>
        </w:rPr>
        <w:t>根据本我会主要特色工作、会员单位技术提升和行业发展的需求，专家库由多个专项库构成。</w:t>
      </w:r>
    </w:p>
    <w:p>
      <w:pPr>
        <w:numPr>
          <w:ilvl w:val="0"/>
          <w:numId w:val="6"/>
        </w:numPr>
        <w:ind w:left="1134"/>
        <w:rPr>
          <w:rFonts w:ascii="仿宋" w:hAnsi="仿宋" w:eastAsia="仿宋"/>
          <w:sz w:val="28"/>
          <w:szCs w:val="28"/>
        </w:rPr>
      </w:pPr>
      <w:r>
        <w:rPr>
          <w:rFonts w:hint="eastAsia" w:ascii="仿宋" w:hAnsi="仿宋" w:eastAsia="仿宋"/>
          <w:sz w:val="28"/>
          <w:szCs w:val="28"/>
        </w:rPr>
        <w:t>各细分专业领域工程技术咨询库；</w:t>
      </w:r>
    </w:p>
    <w:p>
      <w:pPr>
        <w:numPr>
          <w:ilvl w:val="0"/>
          <w:numId w:val="6"/>
        </w:numPr>
        <w:ind w:left="1134"/>
        <w:rPr>
          <w:rFonts w:ascii="仿宋" w:hAnsi="仿宋" w:eastAsia="仿宋"/>
          <w:sz w:val="28"/>
          <w:szCs w:val="28"/>
        </w:rPr>
      </w:pPr>
      <w:r>
        <w:rPr>
          <w:rFonts w:hint="eastAsia" w:ascii="仿宋" w:hAnsi="仿宋" w:eastAsia="仿宋"/>
          <w:sz w:val="28"/>
          <w:szCs w:val="28"/>
        </w:rPr>
        <w:t>质量安全管理库（含质量安全检查、事故调查、分析鉴定和评估论证）；</w:t>
      </w:r>
    </w:p>
    <w:p>
      <w:pPr>
        <w:numPr>
          <w:ilvl w:val="0"/>
          <w:numId w:val="6"/>
        </w:numPr>
        <w:ind w:left="1134"/>
        <w:rPr>
          <w:rFonts w:ascii="仿宋" w:hAnsi="仿宋" w:eastAsia="仿宋"/>
          <w:sz w:val="28"/>
          <w:szCs w:val="28"/>
        </w:rPr>
      </w:pPr>
      <w:r>
        <w:rPr>
          <w:rFonts w:hint="eastAsia" w:ascii="仿宋" w:hAnsi="仿宋" w:eastAsia="仿宋"/>
          <w:sz w:val="28"/>
          <w:szCs w:val="28"/>
        </w:rPr>
        <w:t>优良样板工程评审库；</w:t>
      </w:r>
    </w:p>
    <w:p>
      <w:pPr>
        <w:numPr>
          <w:ilvl w:val="0"/>
          <w:numId w:val="6"/>
        </w:numPr>
        <w:ind w:left="1134"/>
        <w:rPr>
          <w:rFonts w:ascii="仿宋" w:hAnsi="仿宋" w:eastAsia="仿宋"/>
          <w:sz w:val="28"/>
          <w:szCs w:val="28"/>
        </w:rPr>
      </w:pPr>
      <w:r>
        <w:rPr>
          <w:rFonts w:hint="eastAsia" w:ascii="仿宋" w:hAnsi="仿宋" w:eastAsia="仿宋"/>
          <w:sz w:val="28"/>
          <w:szCs w:val="28"/>
        </w:rPr>
        <w:t>科学技术奖评审库；</w:t>
      </w:r>
    </w:p>
    <w:p>
      <w:pPr>
        <w:numPr>
          <w:ilvl w:val="0"/>
          <w:numId w:val="6"/>
        </w:numPr>
        <w:ind w:left="1134"/>
        <w:rPr>
          <w:rFonts w:ascii="仿宋" w:hAnsi="仿宋" w:eastAsia="仿宋"/>
          <w:sz w:val="28"/>
          <w:szCs w:val="28"/>
        </w:rPr>
      </w:pPr>
      <w:r>
        <w:rPr>
          <w:rFonts w:hint="eastAsia" w:ascii="仿宋" w:hAnsi="仿宋" w:eastAsia="仿宋"/>
          <w:sz w:val="28"/>
          <w:szCs w:val="28"/>
        </w:rPr>
        <w:t>QC活动成果评审库；</w:t>
      </w:r>
    </w:p>
    <w:p>
      <w:pPr>
        <w:numPr>
          <w:ilvl w:val="0"/>
          <w:numId w:val="6"/>
        </w:numPr>
        <w:ind w:left="1134"/>
        <w:rPr>
          <w:rFonts w:ascii="仿宋" w:hAnsi="仿宋" w:eastAsia="仿宋"/>
          <w:sz w:val="28"/>
          <w:szCs w:val="28"/>
        </w:rPr>
      </w:pPr>
      <w:r>
        <w:rPr>
          <w:rFonts w:hint="eastAsia" w:ascii="仿宋" w:hAnsi="仿宋" w:eastAsia="仿宋"/>
          <w:sz w:val="28"/>
          <w:szCs w:val="28"/>
        </w:rPr>
        <w:t>诚信评价专家库；</w:t>
      </w:r>
    </w:p>
    <w:p>
      <w:pPr>
        <w:numPr>
          <w:ilvl w:val="0"/>
          <w:numId w:val="6"/>
        </w:numPr>
        <w:ind w:left="1134"/>
        <w:rPr>
          <w:rFonts w:ascii="仿宋" w:hAnsi="仿宋" w:eastAsia="仿宋"/>
          <w:sz w:val="28"/>
          <w:szCs w:val="28"/>
        </w:rPr>
      </w:pPr>
      <w:r>
        <w:rPr>
          <w:rFonts w:hint="eastAsia" w:ascii="仿宋" w:hAnsi="仿宋" w:eastAsia="仿宋"/>
          <w:sz w:val="28"/>
          <w:szCs w:val="28"/>
        </w:rPr>
        <w:t>专项人才业务培训库：</w:t>
      </w:r>
    </w:p>
    <w:p>
      <w:pPr>
        <w:numPr>
          <w:ilvl w:val="0"/>
          <w:numId w:val="6"/>
        </w:numPr>
        <w:ind w:left="1134"/>
        <w:rPr>
          <w:rFonts w:ascii="仿宋" w:hAnsi="仿宋" w:eastAsia="仿宋"/>
          <w:sz w:val="28"/>
          <w:szCs w:val="28"/>
        </w:rPr>
      </w:pPr>
      <w:r>
        <w:rPr>
          <w:rFonts w:hint="eastAsia" w:ascii="仿宋" w:hAnsi="仿宋" w:eastAsia="仿宋"/>
          <w:sz w:val="28"/>
          <w:szCs w:val="28"/>
        </w:rPr>
        <w:t>其它。</w:t>
      </w:r>
    </w:p>
    <w:p>
      <w:pPr>
        <w:numPr>
          <w:ilvl w:val="0"/>
          <w:numId w:val="5"/>
        </w:numPr>
        <w:rPr>
          <w:rFonts w:ascii="仿宋" w:hAnsi="仿宋" w:eastAsia="仿宋"/>
          <w:sz w:val="28"/>
          <w:szCs w:val="28"/>
        </w:rPr>
      </w:pPr>
      <w:r>
        <w:rPr>
          <w:rFonts w:hint="eastAsia" w:ascii="仿宋" w:hAnsi="仿宋" w:eastAsia="仿宋"/>
          <w:sz w:val="28"/>
          <w:szCs w:val="28"/>
        </w:rPr>
        <w:t>专家库由我会秘书处负责组建和维护。</w:t>
      </w:r>
    </w:p>
    <w:p>
      <w:pPr>
        <w:numPr>
          <w:ilvl w:val="0"/>
          <w:numId w:val="7"/>
        </w:numPr>
        <w:ind w:left="1134"/>
        <w:rPr>
          <w:rFonts w:ascii="仿宋" w:hAnsi="仿宋" w:eastAsia="仿宋"/>
          <w:sz w:val="28"/>
          <w:szCs w:val="28"/>
        </w:rPr>
      </w:pPr>
      <w:r>
        <w:rPr>
          <w:rFonts w:hint="eastAsia" w:ascii="仿宋" w:hAnsi="仿宋" w:eastAsia="仿宋"/>
          <w:sz w:val="28"/>
          <w:szCs w:val="28"/>
        </w:rPr>
        <w:t>秘书处根据我会技术业务拓展需要，在每年初提出专项库调整议题，经专家委员会审议、常务理事会批准后执行，原则上每年仅调整一次。</w:t>
      </w:r>
    </w:p>
    <w:p>
      <w:pPr>
        <w:numPr>
          <w:ilvl w:val="0"/>
          <w:numId w:val="7"/>
        </w:numPr>
        <w:ind w:left="1134"/>
        <w:rPr>
          <w:rFonts w:ascii="仿宋" w:hAnsi="仿宋" w:eastAsia="仿宋"/>
          <w:sz w:val="28"/>
          <w:szCs w:val="28"/>
        </w:rPr>
      </w:pPr>
      <w:r>
        <w:rPr>
          <w:rFonts w:hint="eastAsia" w:ascii="仿宋" w:hAnsi="仿宋" w:eastAsia="仿宋"/>
          <w:sz w:val="28"/>
          <w:szCs w:val="28"/>
        </w:rPr>
        <w:t>专家库内专家的资信每年更新一次，秘书处做好专家资信的收集、整理、保管和保密工作；</w:t>
      </w:r>
    </w:p>
    <w:p>
      <w:pPr>
        <w:numPr>
          <w:ilvl w:val="0"/>
          <w:numId w:val="7"/>
        </w:numPr>
        <w:ind w:left="1134"/>
        <w:rPr>
          <w:rFonts w:ascii="仿宋" w:hAnsi="仿宋" w:eastAsia="仿宋"/>
          <w:sz w:val="28"/>
          <w:szCs w:val="28"/>
        </w:rPr>
      </w:pPr>
      <w:r>
        <w:rPr>
          <w:rFonts w:hint="eastAsia" w:ascii="仿宋" w:hAnsi="仿宋" w:eastAsia="仿宋"/>
          <w:sz w:val="28"/>
          <w:szCs w:val="28"/>
        </w:rPr>
        <w:t>专家库内专家的资格每2年审核一次，由秘书处组织审核小组初审，初审意见报专家委员会审议决定。</w:t>
      </w:r>
    </w:p>
    <w:p>
      <w:pPr>
        <w:numPr>
          <w:ilvl w:val="0"/>
          <w:numId w:val="5"/>
        </w:numPr>
        <w:rPr>
          <w:rFonts w:ascii="仿宋" w:hAnsi="仿宋" w:eastAsia="仿宋"/>
          <w:sz w:val="28"/>
          <w:szCs w:val="28"/>
        </w:rPr>
      </w:pPr>
      <w:bookmarkStart w:id="0" w:name="_Hlk53558108"/>
      <w:r>
        <w:rPr>
          <w:rFonts w:hint="eastAsia" w:ascii="仿宋" w:hAnsi="仿宋" w:eastAsia="仿宋"/>
          <w:sz w:val="28"/>
          <w:szCs w:val="28"/>
        </w:rPr>
        <w:t>入库专家的基本条件</w:t>
      </w:r>
    </w:p>
    <w:p>
      <w:pPr>
        <w:numPr>
          <w:ilvl w:val="0"/>
          <w:numId w:val="8"/>
        </w:numPr>
        <w:ind w:left="1134"/>
        <w:rPr>
          <w:rFonts w:ascii="仿宋" w:hAnsi="仿宋" w:eastAsia="仿宋"/>
          <w:sz w:val="28"/>
          <w:szCs w:val="28"/>
        </w:rPr>
      </w:pPr>
      <w:r>
        <w:rPr>
          <w:rFonts w:hint="eastAsia" w:ascii="仿宋" w:hAnsi="仿宋" w:eastAsia="仿宋"/>
          <w:sz w:val="28"/>
          <w:szCs w:val="28"/>
        </w:rPr>
        <w:t>作风正派、遵纪守法，能够认真、公正、诚实、廉洁地履行职责，具有良好的个人素质和职业道德，自觉维护我会和会员单位的合法权益；</w:t>
      </w:r>
    </w:p>
    <w:p>
      <w:pPr>
        <w:numPr>
          <w:ilvl w:val="0"/>
          <w:numId w:val="8"/>
        </w:numPr>
        <w:ind w:left="1134"/>
        <w:rPr>
          <w:rFonts w:ascii="仿宋" w:hAnsi="仿宋" w:eastAsia="仿宋"/>
          <w:sz w:val="28"/>
          <w:szCs w:val="28"/>
        </w:rPr>
      </w:pPr>
      <w:r>
        <w:rPr>
          <w:rFonts w:hint="eastAsia" w:ascii="仿宋" w:hAnsi="仿宋" w:eastAsia="仿宋"/>
          <w:sz w:val="28"/>
          <w:szCs w:val="28"/>
        </w:rPr>
        <w:t>熟悉市政行业相关专业法律、法规、政策、技术规范和标准，并具有较高的专业技术水平、丰富的实践经验和较强的解决实际问题能力；</w:t>
      </w:r>
    </w:p>
    <w:p>
      <w:pPr>
        <w:numPr>
          <w:ilvl w:val="0"/>
          <w:numId w:val="8"/>
        </w:numPr>
        <w:ind w:left="1134"/>
        <w:rPr>
          <w:rFonts w:ascii="仿宋" w:hAnsi="仿宋" w:eastAsia="仿宋"/>
          <w:sz w:val="28"/>
          <w:szCs w:val="28"/>
        </w:rPr>
      </w:pPr>
      <w:r>
        <w:rPr>
          <w:rFonts w:hint="eastAsia" w:ascii="仿宋" w:hAnsi="仿宋" w:eastAsia="仿宋"/>
          <w:sz w:val="28"/>
          <w:szCs w:val="28"/>
        </w:rPr>
        <w:t>从事相关专业技术工作满10年并具有高级专业技术职称；</w:t>
      </w:r>
    </w:p>
    <w:p>
      <w:pPr>
        <w:numPr>
          <w:ilvl w:val="0"/>
          <w:numId w:val="8"/>
        </w:numPr>
        <w:ind w:left="1134"/>
        <w:rPr>
          <w:rFonts w:ascii="仿宋" w:hAnsi="仿宋" w:eastAsia="仿宋"/>
          <w:sz w:val="28"/>
          <w:szCs w:val="28"/>
        </w:rPr>
      </w:pPr>
      <w:r>
        <w:rPr>
          <w:rFonts w:hint="eastAsia" w:ascii="仿宋" w:hAnsi="仿宋" w:eastAsia="仿宋"/>
          <w:sz w:val="28"/>
          <w:szCs w:val="28"/>
        </w:rPr>
        <w:t>身体健康，能适应工作要求，在精力上和时间上能保证参与专家组相关工作和活动，原则上年龄不超过65周岁；</w:t>
      </w:r>
    </w:p>
    <w:p>
      <w:pPr>
        <w:numPr>
          <w:ilvl w:val="0"/>
          <w:numId w:val="8"/>
        </w:numPr>
        <w:ind w:left="1134"/>
        <w:rPr>
          <w:rFonts w:ascii="仿宋" w:hAnsi="仿宋" w:eastAsia="仿宋"/>
          <w:sz w:val="28"/>
          <w:szCs w:val="28"/>
        </w:rPr>
      </w:pPr>
      <w:r>
        <w:rPr>
          <w:rFonts w:hint="eastAsia" w:ascii="仿宋" w:hAnsi="仿宋" w:eastAsia="仿宋"/>
          <w:sz w:val="28"/>
          <w:szCs w:val="28"/>
        </w:rPr>
        <w:t>热心、支持和积极宣传推广我会工作，爱护和提高我会品牌和影响力。</w:t>
      </w:r>
    </w:p>
    <w:bookmarkEnd w:id="0"/>
    <w:p>
      <w:pPr>
        <w:numPr>
          <w:ilvl w:val="0"/>
          <w:numId w:val="5"/>
        </w:numPr>
        <w:rPr>
          <w:rFonts w:ascii="仿宋" w:hAnsi="仿宋" w:eastAsia="仿宋"/>
          <w:sz w:val="28"/>
          <w:szCs w:val="28"/>
        </w:rPr>
      </w:pPr>
      <w:r>
        <w:rPr>
          <w:rFonts w:hint="eastAsia" w:ascii="仿宋" w:hAnsi="仿宋" w:eastAsia="仿宋"/>
          <w:sz w:val="28"/>
          <w:szCs w:val="28"/>
        </w:rPr>
        <w:t>入库专家的权利</w:t>
      </w:r>
    </w:p>
    <w:p>
      <w:pPr>
        <w:numPr>
          <w:ilvl w:val="0"/>
          <w:numId w:val="9"/>
        </w:numPr>
        <w:ind w:left="1134"/>
        <w:rPr>
          <w:rFonts w:ascii="仿宋" w:hAnsi="仿宋" w:eastAsia="仿宋"/>
          <w:sz w:val="28"/>
          <w:szCs w:val="28"/>
        </w:rPr>
      </w:pPr>
      <w:r>
        <w:rPr>
          <w:rFonts w:hint="eastAsia" w:ascii="仿宋" w:hAnsi="仿宋" w:eastAsia="仿宋"/>
          <w:sz w:val="28"/>
          <w:szCs w:val="28"/>
        </w:rPr>
        <w:t>依法依规进行独立咨询和评审，提出意见，不受任何单位和个人的干预；</w:t>
      </w:r>
    </w:p>
    <w:p>
      <w:pPr>
        <w:numPr>
          <w:ilvl w:val="0"/>
          <w:numId w:val="9"/>
        </w:numPr>
        <w:ind w:left="1134"/>
        <w:rPr>
          <w:rFonts w:ascii="仿宋" w:hAnsi="仿宋" w:eastAsia="仿宋"/>
          <w:sz w:val="28"/>
          <w:szCs w:val="28"/>
        </w:rPr>
      </w:pPr>
      <w:r>
        <w:rPr>
          <w:rFonts w:hint="eastAsia" w:ascii="仿宋" w:hAnsi="仿宋" w:eastAsia="仿宋"/>
          <w:sz w:val="28"/>
          <w:szCs w:val="28"/>
        </w:rPr>
        <w:t>对咨询、审查工作中的不正之风提出质疑；</w:t>
      </w:r>
    </w:p>
    <w:p>
      <w:pPr>
        <w:numPr>
          <w:ilvl w:val="0"/>
          <w:numId w:val="9"/>
        </w:numPr>
        <w:ind w:left="1134"/>
        <w:rPr>
          <w:rFonts w:ascii="仿宋" w:hAnsi="仿宋" w:eastAsia="仿宋"/>
          <w:sz w:val="28"/>
          <w:szCs w:val="28"/>
        </w:rPr>
      </w:pPr>
      <w:r>
        <w:rPr>
          <w:rFonts w:hint="eastAsia" w:ascii="仿宋" w:hAnsi="仿宋" w:eastAsia="仿宋"/>
          <w:sz w:val="28"/>
          <w:szCs w:val="28"/>
        </w:rPr>
        <w:t>对专家库管理提出意见和建议；</w:t>
      </w:r>
    </w:p>
    <w:p>
      <w:pPr>
        <w:numPr>
          <w:ilvl w:val="0"/>
          <w:numId w:val="9"/>
        </w:numPr>
        <w:ind w:left="1134"/>
        <w:rPr>
          <w:rFonts w:ascii="仿宋" w:hAnsi="仿宋" w:eastAsia="仿宋"/>
          <w:sz w:val="28"/>
          <w:szCs w:val="28"/>
        </w:rPr>
      </w:pPr>
      <w:r>
        <w:rPr>
          <w:rFonts w:hint="eastAsia" w:ascii="仿宋" w:hAnsi="仿宋" w:eastAsia="仿宋"/>
          <w:sz w:val="28"/>
          <w:szCs w:val="28"/>
        </w:rPr>
        <w:t>依照国家规定，接受我会支付的劳务报酬和其它相关服务报酬；</w:t>
      </w:r>
    </w:p>
    <w:p>
      <w:pPr>
        <w:numPr>
          <w:ilvl w:val="0"/>
          <w:numId w:val="9"/>
        </w:numPr>
        <w:ind w:left="1134"/>
        <w:rPr>
          <w:rFonts w:ascii="仿宋" w:hAnsi="仿宋" w:eastAsia="仿宋"/>
          <w:sz w:val="28"/>
          <w:szCs w:val="28"/>
        </w:rPr>
      </w:pPr>
      <w:r>
        <w:rPr>
          <w:rFonts w:hint="eastAsia" w:ascii="仿宋" w:hAnsi="仿宋" w:eastAsia="仿宋"/>
          <w:sz w:val="28"/>
          <w:szCs w:val="28"/>
        </w:rPr>
        <w:t>获得我会服务的优先权。</w:t>
      </w:r>
    </w:p>
    <w:p>
      <w:pPr>
        <w:numPr>
          <w:ilvl w:val="0"/>
          <w:numId w:val="5"/>
        </w:numPr>
        <w:rPr>
          <w:rFonts w:ascii="仿宋" w:hAnsi="仿宋" w:eastAsia="仿宋"/>
          <w:sz w:val="28"/>
          <w:szCs w:val="28"/>
        </w:rPr>
      </w:pPr>
      <w:r>
        <w:rPr>
          <w:rFonts w:hint="eastAsia" w:ascii="仿宋" w:hAnsi="仿宋" w:eastAsia="仿宋"/>
          <w:sz w:val="28"/>
          <w:szCs w:val="28"/>
        </w:rPr>
        <w:t>入库专家的义务</w:t>
      </w:r>
    </w:p>
    <w:p>
      <w:pPr>
        <w:numPr>
          <w:ilvl w:val="0"/>
          <w:numId w:val="10"/>
        </w:numPr>
        <w:ind w:left="1134"/>
        <w:rPr>
          <w:rFonts w:ascii="仿宋" w:hAnsi="仿宋" w:eastAsia="仿宋"/>
          <w:sz w:val="28"/>
          <w:szCs w:val="28"/>
        </w:rPr>
      </w:pPr>
      <w:r>
        <w:rPr>
          <w:rFonts w:hint="eastAsia" w:ascii="仿宋" w:hAnsi="仿宋" w:eastAsia="仿宋"/>
          <w:sz w:val="28"/>
          <w:szCs w:val="28"/>
        </w:rPr>
        <w:t>如实申报我会要求的专家个人资料，并对所申报内容的真实性负责；</w:t>
      </w:r>
    </w:p>
    <w:p>
      <w:pPr>
        <w:numPr>
          <w:ilvl w:val="0"/>
          <w:numId w:val="10"/>
        </w:numPr>
        <w:ind w:left="1134"/>
        <w:rPr>
          <w:rFonts w:ascii="仿宋" w:hAnsi="仿宋" w:eastAsia="仿宋"/>
          <w:sz w:val="28"/>
          <w:szCs w:val="28"/>
        </w:rPr>
      </w:pPr>
      <w:r>
        <w:rPr>
          <w:rFonts w:hint="eastAsia" w:ascii="仿宋" w:hAnsi="仿宋" w:eastAsia="仿宋"/>
          <w:sz w:val="28"/>
          <w:szCs w:val="28"/>
        </w:rPr>
        <w:t>积极参加，并坚持原则，客观公正、清正廉洁地完成我会安排的各项工作任务；</w:t>
      </w:r>
    </w:p>
    <w:p>
      <w:pPr>
        <w:numPr>
          <w:ilvl w:val="0"/>
          <w:numId w:val="10"/>
        </w:numPr>
        <w:ind w:left="1134"/>
        <w:rPr>
          <w:rFonts w:ascii="仿宋" w:hAnsi="仿宋" w:eastAsia="仿宋"/>
          <w:sz w:val="28"/>
          <w:szCs w:val="28"/>
        </w:rPr>
      </w:pPr>
      <w:r>
        <w:rPr>
          <w:rFonts w:hint="eastAsia" w:ascii="仿宋" w:hAnsi="仿宋" w:eastAsia="仿宋"/>
          <w:sz w:val="28"/>
          <w:szCs w:val="28"/>
        </w:rPr>
        <w:t>主动申请回避可能影响公正立场的咨询和评审活动；</w:t>
      </w:r>
    </w:p>
    <w:p>
      <w:pPr>
        <w:numPr>
          <w:ilvl w:val="0"/>
          <w:numId w:val="10"/>
        </w:numPr>
        <w:ind w:left="1134"/>
        <w:rPr>
          <w:rFonts w:ascii="仿宋" w:hAnsi="仿宋" w:eastAsia="仿宋"/>
          <w:sz w:val="28"/>
          <w:szCs w:val="28"/>
        </w:rPr>
      </w:pPr>
      <w:r>
        <w:rPr>
          <w:rFonts w:hint="eastAsia" w:ascii="仿宋" w:hAnsi="仿宋" w:eastAsia="仿宋"/>
          <w:sz w:val="28"/>
          <w:szCs w:val="28"/>
        </w:rPr>
        <w:t>严格执行保密制度，保守服务对象的有关技术秘密和商业秘密；</w:t>
      </w:r>
    </w:p>
    <w:p>
      <w:pPr>
        <w:numPr>
          <w:ilvl w:val="0"/>
          <w:numId w:val="10"/>
        </w:numPr>
        <w:ind w:left="1134"/>
        <w:rPr>
          <w:rFonts w:ascii="仿宋" w:hAnsi="仿宋" w:eastAsia="仿宋"/>
          <w:sz w:val="28"/>
          <w:szCs w:val="28"/>
        </w:rPr>
      </w:pPr>
      <w:r>
        <w:rPr>
          <w:rFonts w:hint="eastAsia" w:ascii="仿宋" w:hAnsi="仿宋" w:eastAsia="仿宋"/>
          <w:sz w:val="28"/>
          <w:szCs w:val="28"/>
        </w:rPr>
        <w:t>积极参加由我会和政府主管部门安排的公益性免费行业服务；</w:t>
      </w:r>
    </w:p>
    <w:p>
      <w:pPr>
        <w:numPr>
          <w:ilvl w:val="0"/>
          <w:numId w:val="10"/>
        </w:numPr>
        <w:ind w:left="1134"/>
        <w:rPr>
          <w:rFonts w:ascii="仿宋" w:hAnsi="仿宋" w:eastAsia="仿宋"/>
          <w:sz w:val="28"/>
          <w:szCs w:val="28"/>
        </w:rPr>
      </w:pPr>
      <w:r>
        <w:rPr>
          <w:rFonts w:hint="eastAsia" w:ascii="仿宋" w:hAnsi="仿宋" w:eastAsia="仿宋"/>
          <w:sz w:val="28"/>
          <w:szCs w:val="28"/>
        </w:rPr>
        <w:t>未经我会同意，不得以我会的名义开展谋取私利的活动。</w:t>
      </w:r>
    </w:p>
    <w:p>
      <w:pPr>
        <w:numPr>
          <w:ilvl w:val="0"/>
          <w:numId w:val="10"/>
        </w:numPr>
        <w:ind w:left="1134"/>
        <w:rPr>
          <w:rFonts w:ascii="仿宋" w:hAnsi="仿宋" w:eastAsia="仿宋"/>
          <w:sz w:val="28"/>
          <w:szCs w:val="28"/>
        </w:rPr>
      </w:pPr>
      <w:r>
        <w:rPr>
          <w:rFonts w:hint="eastAsia" w:ascii="仿宋" w:hAnsi="仿宋" w:eastAsia="仿宋"/>
          <w:sz w:val="28"/>
          <w:szCs w:val="28"/>
        </w:rPr>
        <w:t>热心支持我会工作，积极宣传、推广和提升我会品牌和行业影响力。</w:t>
      </w:r>
    </w:p>
    <w:p>
      <w:pPr>
        <w:ind w:firstLine="560" w:firstLineChars="200"/>
        <w:rPr>
          <w:rFonts w:ascii="仿宋" w:hAnsi="仿宋" w:eastAsia="仿宋"/>
          <w:sz w:val="28"/>
          <w:szCs w:val="28"/>
        </w:rPr>
      </w:pPr>
      <w:r>
        <w:rPr>
          <w:rFonts w:hint="eastAsia" w:ascii="仿宋" w:hAnsi="仿宋" w:eastAsia="仿宋"/>
          <w:sz w:val="28"/>
          <w:szCs w:val="28"/>
        </w:rPr>
        <w:t>秘书处对专家库内专家的资信每年底复核一次；专家库资格审核工作由我会审查小组初审，专家审核组提出审核意见后报常务理事会审议决定。</w:t>
      </w:r>
    </w:p>
    <w:p>
      <w:pPr>
        <w:ind w:firstLine="562" w:firstLineChars="200"/>
        <w:rPr>
          <w:rFonts w:ascii="仿宋" w:hAnsi="仿宋" w:eastAsia="仿宋"/>
          <w:sz w:val="28"/>
          <w:szCs w:val="28"/>
        </w:rPr>
      </w:pPr>
      <w:r>
        <w:rPr>
          <w:rFonts w:hint="eastAsia" w:ascii="仿宋" w:hAnsi="仿宋" w:eastAsia="仿宋"/>
          <w:b/>
          <w:bCs/>
          <w:sz w:val="28"/>
          <w:szCs w:val="28"/>
        </w:rPr>
        <w:t>第十条</w:t>
      </w:r>
      <w:r>
        <w:rPr>
          <w:rFonts w:hint="eastAsia" w:ascii="仿宋" w:hAnsi="仿宋" w:eastAsia="仿宋"/>
          <w:sz w:val="28"/>
          <w:szCs w:val="28"/>
        </w:rPr>
        <w:t xml:space="preserve"> 专家库日常的管理由秘书处负责，并做好专家资料保密工作。专家库每两年进行一次信息更新和资格审查。</w:t>
      </w:r>
    </w:p>
    <w:p>
      <w:pPr>
        <w:ind w:firstLine="562" w:firstLineChars="200"/>
        <w:rPr>
          <w:rFonts w:ascii="仿宋" w:hAnsi="仿宋" w:eastAsia="仿宋"/>
          <w:sz w:val="28"/>
          <w:szCs w:val="28"/>
        </w:rPr>
      </w:pPr>
      <w:r>
        <w:rPr>
          <w:rFonts w:hint="eastAsia" w:ascii="仿宋" w:hAnsi="仿宋" w:eastAsia="仿宋"/>
          <w:b/>
          <w:bCs/>
          <w:sz w:val="28"/>
          <w:szCs w:val="28"/>
        </w:rPr>
        <w:t>第十一条</w:t>
      </w:r>
      <w:r>
        <w:rPr>
          <w:rFonts w:hint="eastAsia" w:ascii="仿宋" w:hAnsi="仿宋" w:eastAsia="仿宋"/>
          <w:sz w:val="28"/>
          <w:szCs w:val="28"/>
        </w:rPr>
        <w:t xml:space="preserve"> 专家库的使用</w:t>
      </w:r>
    </w:p>
    <w:p>
      <w:pPr>
        <w:numPr>
          <w:ilvl w:val="0"/>
          <w:numId w:val="11"/>
        </w:numPr>
        <w:rPr>
          <w:rFonts w:ascii="仿宋" w:hAnsi="仿宋" w:eastAsia="仿宋"/>
          <w:sz w:val="28"/>
          <w:szCs w:val="28"/>
        </w:rPr>
      </w:pPr>
      <w:r>
        <w:rPr>
          <w:rFonts w:hint="eastAsia" w:ascii="仿宋" w:hAnsi="仿宋" w:eastAsia="仿宋"/>
          <w:sz w:val="28"/>
          <w:szCs w:val="28"/>
        </w:rPr>
        <w:t>专家库专家工作由我会秘书处统一安排。</w:t>
      </w:r>
    </w:p>
    <w:p>
      <w:pPr>
        <w:numPr>
          <w:ilvl w:val="0"/>
          <w:numId w:val="11"/>
        </w:numPr>
        <w:rPr>
          <w:rFonts w:ascii="仿宋" w:hAnsi="仿宋" w:eastAsia="仿宋"/>
          <w:sz w:val="28"/>
          <w:szCs w:val="28"/>
        </w:rPr>
      </w:pPr>
      <w:r>
        <w:rPr>
          <w:rFonts w:hint="eastAsia" w:ascii="仿宋" w:hAnsi="仿宋" w:eastAsia="仿宋"/>
          <w:sz w:val="28"/>
          <w:szCs w:val="28"/>
        </w:rPr>
        <w:t>专家的抽取</w:t>
      </w:r>
    </w:p>
    <w:p>
      <w:pPr>
        <w:numPr>
          <w:ilvl w:val="0"/>
          <w:numId w:val="12"/>
        </w:numPr>
        <w:ind w:left="1134"/>
        <w:rPr>
          <w:rFonts w:ascii="仿宋" w:hAnsi="仿宋" w:eastAsia="仿宋"/>
          <w:sz w:val="28"/>
          <w:szCs w:val="28"/>
        </w:rPr>
      </w:pPr>
      <w:r>
        <w:rPr>
          <w:rFonts w:hint="eastAsia" w:ascii="仿宋" w:hAnsi="仿宋" w:eastAsia="仿宋"/>
          <w:sz w:val="28"/>
          <w:szCs w:val="28"/>
        </w:rPr>
        <w:t>依据我会相关活动和评审工作对应的专业需求，秘书处在专家库相应的专项库中抽取对口专家；</w:t>
      </w:r>
    </w:p>
    <w:p>
      <w:pPr>
        <w:numPr>
          <w:ilvl w:val="0"/>
          <w:numId w:val="12"/>
        </w:numPr>
        <w:ind w:left="1134"/>
        <w:rPr>
          <w:rFonts w:ascii="仿宋" w:hAnsi="仿宋" w:eastAsia="仿宋"/>
          <w:sz w:val="28"/>
          <w:szCs w:val="28"/>
        </w:rPr>
      </w:pPr>
      <w:r>
        <w:rPr>
          <w:rFonts w:hint="eastAsia" w:ascii="仿宋" w:hAnsi="仿宋" w:eastAsia="仿宋"/>
          <w:sz w:val="28"/>
          <w:szCs w:val="28"/>
        </w:rPr>
        <w:t>专家确认后，经办人对抽取过程和结果进行书面记录，并报我会专家管理负责人核准后执行；</w:t>
      </w:r>
    </w:p>
    <w:p>
      <w:pPr>
        <w:numPr>
          <w:ilvl w:val="0"/>
          <w:numId w:val="12"/>
        </w:numPr>
        <w:ind w:left="1134"/>
        <w:rPr>
          <w:rFonts w:ascii="仿宋" w:hAnsi="仿宋" w:eastAsia="仿宋"/>
          <w:sz w:val="28"/>
          <w:szCs w:val="28"/>
        </w:rPr>
      </w:pPr>
      <w:r>
        <w:rPr>
          <w:rFonts w:hint="eastAsia" w:ascii="仿宋" w:hAnsi="仿宋" w:eastAsia="仿宋"/>
          <w:sz w:val="28"/>
          <w:szCs w:val="28"/>
        </w:rPr>
        <w:t>项目评审组建的专家组成员人数应为3人以上的单数。</w:t>
      </w:r>
    </w:p>
    <w:p>
      <w:pPr>
        <w:numPr>
          <w:ilvl w:val="0"/>
          <w:numId w:val="11"/>
        </w:numPr>
        <w:rPr>
          <w:rFonts w:ascii="仿宋" w:hAnsi="仿宋" w:eastAsia="仿宋"/>
          <w:sz w:val="28"/>
          <w:szCs w:val="28"/>
        </w:rPr>
      </w:pPr>
      <w:r>
        <w:rPr>
          <w:rFonts w:hint="eastAsia" w:ascii="仿宋" w:hAnsi="仿宋" w:eastAsia="仿宋"/>
          <w:sz w:val="28"/>
          <w:szCs w:val="28"/>
        </w:rPr>
        <w:t>专家的重新抽取</w:t>
      </w:r>
    </w:p>
    <w:p>
      <w:pPr>
        <w:ind w:firstLine="560" w:firstLineChars="200"/>
        <w:rPr>
          <w:rFonts w:ascii="仿宋" w:hAnsi="仿宋" w:eastAsia="仿宋"/>
          <w:sz w:val="28"/>
          <w:szCs w:val="28"/>
        </w:rPr>
      </w:pPr>
      <w:r>
        <w:rPr>
          <w:rFonts w:hint="eastAsia" w:ascii="仿宋" w:hAnsi="仿宋" w:eastAsia="仿宋"/>
          <w:sz w:val="28"/>
          <w:szCs w:val="28"/>
        </w:rPr>
        <w:t>项目单位或关联单位的人员抽取的专家与项目抽取的专家无法参加评审或无法按期完成评审的，应重新抽取。</w:t>
      </w:r>
    </w:p>
    <w:p>
      <w:pPr>
        <w:numPr>
          <w:ilvl w:val="0"/>
          <w:numId w:val="11"/>
        </w:numPr>
        <w:rPr>
          <w:rFonts w:ascii="仿宋" w:hAnsi="仿宋" w:eastAsia="仿宋"/>
          <w:sz w:val="28"/>
          <w:szCs w:val="28"/>
        </w:rPr>
      </w:pPr>
      <w:r>
        <w:rPr>
          <w:rFonts w:hint="eastAsia" w:ascii="仿宋" w:hAnsi="仿宋" w:eastAsia="仿宋"/>
          <w:sz w:val="28"/>
          <w:szCs w:val="28"/>
        </w:rPr>
        <w:t>专家回避制度</w:t>
      </w:r>
    </w:p>
    <w:p>
      <w:pPr>
        <w:ind w:firstLine="560" w:firstLineChars="200"/>
        <w:rPr>
          <w:rFonts w:ascii="仿宋" w:hAnsi="仿宋" w:eastAsia="仿宋"/>
          <w:sz w:val="28"/>
          <w:szCs w:val="28"/>
        </w:rPr>
      </w:pPr>
      <w:r>
        <w:rPr>
          <w:rFonts w:hint="eastAsia" w:ascii="仿宋" w:hAnsi="仿宋" w:eastAsia="仿宋"/>
          <w:sz w:val="28"/>
          <w:szCs w:val="28"/>
        </w:rPr>
        <w:t>有下列情形之一的，应当主动回避：</w:t>
      </w:r>
    </w:p>
    <w:p>
      <w:pPr>
        <w:numPr>
          <w:ilvl w:val="0"/>
          <w:numId w:val="13"/>
        </w:numPr>
        <w:ind w:left="1134"/>
        <w:rPr>
          <w:rFonts w:ascii="仿宋" w:hAnsi="仿宋" w:eastAsia="仿宋"/>
          <w:sz w:val="28"/>
          <w:szCs w:val="28"/>
        </w:rPr>
      </w:pPr>
      <w:r>
        <w:rPr>
          <w:rFonts w:hint="eastAsia" w:ascii="仿宋" w:hAnsi="仿宋" w:eastAsia="仿宋"/>
          <w:sz w:val="28"/>
          <w:szCs w:val="28"/>
        </w:rPr>
        <w:t>与评审项目主要负责人为近亲属的；</w:t>
      </w:r>
    </w:p>
    <w:p>
      <w:pPr>
        <w:numPr>
          <w:ilvl w:val="0"/>
          <w:numId w:val="13"/>
        </w:numPr>
        <w:ind w:left="1134"/>
        <w:rPr>
          <w:rFonts w:ascii="仿宋" w:hAnsi="仿宋" w:eastAsia="仿宋"/>
          <w:sz w:val="28"/>
          <w:szCs w:val="28"/>
        </w:rPr>
      </w:pPr>
      <w:r>
        <w:rPr>
          <w:rFonts w:hint="eastAsia" w:ascii="仿宋" w:hAnsi="仿宋" w:eastAsia="仿宋"/>
          <w:sz w:val="28"/>
          <w:szCs w:val="28"/>
        </w:rPr>
        <w:t>与评审项目有利益关系的；</w:t>
      </w:r>
    </w:p>
    <w:p>
      <w:pPr>
        <w:numPr>
          <w:ilvl w:val="0"/>
          <w:numId w:val="13"/>
        </w:numPr>
        <w:ind w:left="1134"/>
        <w:rPr>
          <w:rFonts w:ascii="仿宋" w:hAnsi="仿宋" w:eastAsia="仿宋"/>
          <w:sz w:val="28"/>
          <w:szCs w:val="28"/>
        </w:rPr>
      </w:pPr>
      <w:r>
        <w:rPr>
          <w:rFonts w:hint="eastAsia" w:ascii="仿宋" w:hAnsi="仿宋" w:eastAsia="仿宋"/>
          <w:sz w:val="28"/>
          <w:szCs w:val="28"/>
        </w:rPr>
        <w:t>未能主动回避的，一经发现，应立即终止其评审活动，已完成评审活动的，评审结果无效。</w:t>
      </w:r>
    </w:p>
    <w:p>
      <w:pPr>
        <w:jc w:val="center"/>
        <w:rPr>
          <w:rFonts w:ascii="仿宋" w:hAnsi="仿宋" w:eastAsia="仿宋"/>
          <w:b/>
          <w:bCs/>
          <w:sz w:val="28"/>
          <w:szCs w:val="28"/>
        </w:rPr>
      </w:pPr>
      <w:r>
        <w:rPr>
          <w:rFonts w:hint="eastAsia" w:ascii="仿宋" w:hAnsi="仿宋" w:eastAsia="仿宋"/>
          <w:b/>
          <w:bCs/>
          <w:sz w:val="28"/>
          <w:szCs w:val="28"/>
        </w:rPr>
        <w:t>第四章  专家的管理</w:t>
      </w:r>
    </w:p>
    <w:p>
      <w:pPr>
        <w:ind w:firstLine="562" w:firstLineChars="200"/>
        <w:rPr>
          <w:rFonts w:ascii="仿宋" w:hAnsi="仿宋" w:eastAsia="仿宋"/>
          <w:sz w:val="28"/>
          <w:szCs w:val="28"/>
        </w:rPr>
      </w:pPr>
      <w:r>
        <w:rPr>
          <w:rFonts w:hint="eastAsia" w:ascii="仿宋" w:hAnsi="仿宋" w:eastAsia="仿宋"/>
          <w:b/>
          <w:bCs/>
          <w:sz w:val="28"/>
          <w:szCs w:val="28"/>
        </w:rPr>
        <w:t>第十二条</w:t>
      </w:r>
      <w:r>
        <w:rPr>
          <w:rFonts w:hint="eastAsia" w:ascii="仿宋" w:hAnsi="仿宋" w:eastAsia="仿宋"/>
          <w:sz w:val="28"/>
          <w:szCs w:val="28"/>
        </w:rPr>
        <w:t xml:space="preserve"> 入库办理：</w:t>
      </w:r>
    </w:p>
    <w:p>
      <w:pPr>
        <w:ind w:firstLine="560" w:firstLineChars="200"/>
        <w:rPr>
          <w:rFonts w:ascii="仿宋" w:hAnsi="仿宋" w:eastAsia="仿宋"/>
          <w:sz w:val="28"/>
          <w:szCs w:val="28"/>
        </w:rPr>
      </w:pPr>
      <w:r>
        <w:rPr>
          <w:rFonts w:hint="eastAsia" w:ascii="仿宋" w:hAnsi="仿宋" w:eastAsia="仿宋"/>
          <w:sz w:val="28"/>
          <w:szCs w:val="28"/>
        </w:rPr>
        <w:t>（详见我会网站上的广东省市政行业协会专家入库流程图）</w:t>
      </w:r>
    </w:p>
    <w:p>
      <w:pPr>
        <w:numPr>
          <w:ilvl w:val="0"/>
          <w:numId w:val="14"/>
        </w:numPr>
        <w:ind w:left="0" w:firstLine="560"/>
        <w:rPr>
          <w:rFonts w:ascii="仿宋" w:hAnsi="仿宋" w:eastAsia="仿宋"/>
          <w:sz w:val="28"/>
          <w:szCs w:val="28"/>
        </w:rPr>
      </w:pPr>
      <w:r>
        <w:rPr>
          <w:rFonts w:hint="eastAsia" w:ascii="仿宋" w:hAnsi="仿宋" w:eastAsia="仿宋"/>
          <w:sz w:val="28"/>
          <w:szCs w:val="28"/>
        </w:rPr>
        <w:t>特邀：由我会向各级政府部门、质量安全监督站、科研院所、高校等单位特邀的专家；</w:t>
      </w:r>
    </w:p>
    <w:p>
      <w:pPr>
        <w:numPr>
          <w:ilvl w:val="0"/>
          <w:numId w:val="14"/>
        </w:numPr>
        <w:ind w:left="0" w:firstLine="560"/>
        <w:rPr>
          <w:rFonts w:ascii="仿宋" w:hAnsi="仿宋" w:eastAsia="仿宋"/>
          <w:sz w:val="28"/>
          <w:szCs w:val="28"/>
        </w:rPr>
      </w:pPr>
      <w:r>
        <w:rPr>
          <w:rFonts w:hint="eastAsia" w:ascii="仿宋" w:hAnsi="仿宋" w:eastAsia="仿宋"/>
          <w:sz w:val="28"/>
          <w:szCs w:val="28"/>
        </w:rPr>
        <w:t>推荐：申请入库人员可在我会网站“专家入库”按要求填写填报，上传有关资料和表格，并下载《广东省市政行业协会专家登记表》</w:t>
      </w:r>
      <w:bookmarkStart w:id="1" w:name="_Hlk51761202"/>
      <w:r>
        <w:rPr>
          <w:rFonts w:hint="eastAsia" w:ascii="仿宋" w:hAnsi="仿宋" w:eastAsia="仿宋"/>
          <w:sz w:val="28"/>
          <w:szCs w:val="28"/>
        </w:rPr>
        <w:t>经所在会员单位签署推荐意见并签章后</w:t>
      </w:r>
      <w:bookmarkEnd w:id="1"/>
      <w:r>
        <w:rPr>
          <w:rFonts w:hint="eastAsia" w:ascii="仿宋" w:hAnsi="仿宋" w:eastAsia="仿宋"/>
          <w:sz w:val="28"/>
          <w:szCs w:val="28"/>
        </w:rPr>
        <w:t xml:space="preserve">，携相关证件（专业技术资格证、注册执业证书、毕业证、学位证、身份证或工作证原件及复印件）和专业工作简历到我会秘书处办理申报手续； </w:t>
      </w:r>
    </w:p>
    <w:p>
      <w:pPr>
        <w:numPr>
          <w:ilvl w:val="0"/>
          <w:numId w:val="14"/>
        </w:numPr>
        <w:ind w:left="0" w:firstLine="560"/>
        <w:rPr>
          <w:rFonts w:ascii="仿宋" w:hAnsi="仿宋" w:eastAsia="仿宋"/>
          <w:sz w:val="28"/>
          <w:szCs w:val="28"/>
        </w:rPr>
      </w:pPr>
      <w:r>
        <w:rPr>
          <w:rFonts w:hint="eastAsia" w:ascii="仿宋" w:hAnsi="仿宋" w:eastAsia="仿宋"/>
          <w:sz w:val="28"/>
          <w:szCs w:val="28"/>
        </w:rPr>
        <w:t>聘任：经秘书处资格初步审查，并经通过相关培训及考核合格后，由我会统一编号颁发专家聘任书，每次聘期为2年；</w:t>
      </w:r>
    </w:p>
    <w:p>
      <w:pPr>
        <w:numPr>
          <w:ilvl w:val="0"/>
          <w:numId w:val="14"/>
        </w:numPr>
        <w:ind w:left="0" w:firstLine="560"/>
        <w:rPr>
          <w:rFonts w:ascii="仿宋" w:hAnsi="仿宋" w:eastAsia="仿宋"/>
          <w:sz w:val="28"/>
          <w:szCs w:val="28"/>
        </w:rPr>
      </w:pPr>
      <w:r>
        <w:rPr>
          <w:rFonts w:hint="eastAsia" w:ascii="仿宋" w:hAnsi="仿宋" w:eastAsia="仿宋"/>
          <w:sz w:val="28"/>
          <w:szCs w:val="28"/>
        </w:rPr>
        <w:t>续聘：聘期到期经综合考核合格后，可以连续聘用；</w:t>
      </w:r>
    </w:p>
    <w:p>
      <w:pPr>
        <w:numPr>
          <w:ilvl w:val="0"/>
          <w:numId w:val="14"/>
        </w:numPr>
        <w:ind w:left="0" w:firstLine="560"/>
        <w:rPr>
          <w:rFonts w:ascii="仿宋" w:hAnsi="仿宋" w:eastAsia="仿宋"/>
          <w:sz w:val="28"/>
          <w:szCs w:val="28"/>
        </w:rPr>
      </w:pPr>
      <w:r>
        <w:rPr>
          <w:rFonts w:hint="eastAsia" w:ascii="仿宋" w:hAnsi="仿宋" w:eastAsia="仿宋"/>
          <w:sz w:val="28"/>
          <w:szCs w:val="28"/>
        </w:rPr>
        <w:t>解聘：专家在聘期内不能履行职责，可由本人提前30天以书面形式向我会提出申请，经批准后解聘。</w:t>
      </w:r>
    </w:p>
    <w:p>
      <w:pPr>
        <w:ind w:firstLine="562" w:firstLineChars="200"/>
        <w:rPr>
          <w:rFonts w:ascii="仿宋" w:hAnsi="仿宋" w:eastAsia="仿宋"/>
          <w:sz w:val="28"/>
          <w:szCs w:val="28"/>
        </w:rPr>
      </w:pPr>
      <w:r>
        <w:rPr>
          <w:rFonts w:hint="eastAsia" w:ascii="仿宋" w:hAnsi="仿宋" w:eastAsia="仿宋"/>
          <w:b/>
          <w:bCs/>
          <w:sz w:val="28"/>
          <w:szCs w:val="28"/>
        </w:rPr>
        <w:t>第十三条</w:t>
      </w:r>
      <w:r>
        <w:rPr>
          <w:rFonts w:hint="eastAsia" w:ascii="仿宋" w:hAnsi="仿宋" w:eastAsia="仿宋"/>
          <w:sz w:val="28"/>
          <w:szCs w:val="28"/>
        </w:rPr>
        <w:t xml:space="preserve"> 出库管理。</w:t>
      </w:r>
    </w:p>
    <w:p>
      <w:pPr>
        <w:ind w:firstLine="560" w:firstLineChars="200"/>
        <w:rPr>
          <w:rFonts w:ascii="仿宋" w:hAnsi="仿宋" w:eastAsia="仿宋"/>
          <w:sz w:val="28"/>
          <w:szCs w:val="28"/>
        </w:rPr>
      </w:pPr>
      <w:r>
        <w:rPr>
          <w:rFonts w:hint="eastAsia" w:ascii="仿宋" w:hAnsi="仿宋" w:eastAsia="仿宋"/>
          <w:sz w:val="28"/>
          <w:szCs w:val="28"/>
        </w:rPr>
        <w:t xml:space="preserve">有下列情形之一的，将取消专家资格，调整出库： </w:t>
      </w:r>
    </w:p>
    <w:p>
      <w:pPr>
        <w:numPr>
          <w:ilvl w:val="0"/>
          <w:numId w:val="15"/>
        </w:numPr>
        <w:rPr>
          <w:rFonts w:ascii="仿宋" w:hAnsi="仿宋" w:eastAsia="仿宋"/>
          <w:sz w:val="28"/>
          <w:szCs w:val="28"/>
        </w:rPr>
      </w:pPr>
      <w:r>
        <w:rPr>
          <w:rFonts w:hint="eastAsia" w:ascii="仿宋" w:hAnsi="仿宋" w:eastAsia="仿宋"/>
          <w:sz w:val="28"/>
          <w:szCs w:val="28"/>
        </w:rPr>
        <w:t>业务考核不合格的；</w:t>
      </w:r>
    </w:p>
    <w:p>
      <w:pPr>
        <w:numPr>
          <w:ilvl w:val="0"/>
          <w:numId w:val="15"/>
        </w:numPr>
        <w:rPr>
          <w:rFonts w:ascii="仿宋" w:hAnsi="仿宋" w:eastAsia="仿宋"/>
          <w:sz w:val="28"/>
          <w:szCs w:val="28"/>
        </w:rPr>
      </w:pPr>
      <w:r>
        <w:rPr>
          <w:rFonts w:hint="eastAsia" w:ascii="仿宋" w:hAnsi="仿宋" w:eastAsia="仿宋"/>
          <w:sz w:val="28"/>
          <w:szCs w:val="28"/>
        </w:rPr>
        <w:t>身体条件不能胜任工作的；</w:t>
      </w:r>
    </w:p>
    <w:p>
      <w:pPr>
        <w:numPr>
          <w:ilvl w:val="0"/>
          <w:numId w:val="15"/>
        </w:numPr>
        <w:rPr>
          <w:rFonts w:ascii="仿宋" w:hAnsi="仿宋" w:eastAsia="仿宋"/>
          <w:sz w:val="28"/>
          <w:szCs w:val="28"/>
        </w:rPr>
      </w:pPr>
      <w:r>
        <w:rPr>
          <w:rFonts w:hint="eastAsia" w:ascii="仿宋" w:hAnsi="仿宋" w:eastAsia="仿宋"/>
          <w:sz w:val="28"/>
          <w:szCs w:val="28"/>
        </w:rPr>
        <w:t>本人提出不再担任专家的；</w:t>
      </w:r>
    </w:p>
    <w:p>
      <w:pPr>
        <w:numPr>
          <w:ilvl w:val="0"/>
          <w:numId w:val="15"/>
        </w:numPr>
        <w:rPr>
          <w:rFonts w:ascii="仿宋" w:hAnsi="仿宋" w:eastAsia="仿宋"/>
          <w:sz w:val="28"/>
          <w:szCs w:val="28"/>
        </w:rPr>
      </w:pPr>
      <w:r>
        <w:rPr>
          <w:rFonts w:hint="eastAsia" w:ascii="仿宋" w:hAnsi="仿宋" w:eastAsia="仿宋"/>
          <w:sz w:val="28"/>
          <w:szCs w:val="28"/>
        </w:rPr>
        <w:t>违反国家法律、法规和有关规定的或受刑事处罚的；</w:t>
      </w:r>
    </w:p>
    <w:p>
      <w:pPr>
        <w:numPr>
          <w:ilvl w:val="0"/>
          <w:numId w:val="15"/>
        </w:numPr>
        <w:rPr>
          <w:rFonts w:ascii="仿宋" w:hAnsi="仿宋" w:eastAsia="仿宋"/>
          <w:sz w:val="28"/>
          <w:szCs w:val="28"/>
        </w:rPr>
      </w:pPr>
      <w:r>
        <w:rPr>
          <w:rFonts w:hint="eastAsia" w:ascii="仿宋" w:hAnsi="仿宋" w:eastAsia="仿宋"/>
          <w:sz w:val="28"/>
          <w:szCs w:val="28"/>
        </w:rPr>
        <w:t>严重违反职业道德、败坏我会声誉、损害参与活动相关单位合法权益的；</w:t>
      </w:r>
    </w:p>
    <w:p>
      <w:pPr>
        <w:numPr>
          <w:ilvl w:val="0"/>
          <w:numId w:val="15"/>
        </w:numPr>
        <w:spacing w:after="240"/>
        <w:rPr>
          <w:rFonts w:ascii="仿宋" w:hAnsi="仿宋" w:eastAsia="仿宋"/>
          <w:sz w:val="28"/>
          <w:szCs w:val="28"/>
        </w:rPr>
      </w:pPr>
      <w:r>
        <w:rPr>
          <w:rFonts w:hint="eastAsia" w:ascii="仿宋" w:hAnsi="仿宋" w:eastAsia="仿宋"/>
          <w:sz w:val="28"/>
          <w:szCs w:val="28"/>
        </w:rPr>
        <w:t>其它违反本办法规定的。</w:t>
      </w:r>
    </w:p>
    <w:p>
      <w:pPr>
        <w:jc w:val="center"/>
        <w:rPr>
          <w:rFonts w:ascii="仿宋" w:hAnsi="仿宋" w:eastAsia="仿宋"/>
          <w:b/>
          <w:bCs/>
          <w:sz w:val="28"/>
          <w:szCs w:val="28"/>
        </w:rPr>
      </w:pPr>
      <w:r>
        <w:rPr>
          <w:rFonts w:hint="eastAsia" w:ascii="仿宋" w:hAnsi="仿宋" w:eastAsia="仿宋"/>
          <w:b/>
          <w:bCs/>
          <w:sz w:val="28"/>
          <w:szCs w:val="28"/>
        </w:rPr>
        <w:t>第五章  附则</w:t>
      </w:r>
    </w:p>
    <w:p>
      <w:pPr>
        <w:ind w:firstLine="562" w:firstLineChars="200"/>
        <w:rPr>
          <w:rFonts w:ascii="仿宋" w:hAnsi="仿宋" w:eastAsia="仿宋"/>
          <w:sz w:val="28"/>
          <w:szCs w:val="28"/>
        </w:rPr>
      </w:pPr>
      <w:r>
        <w:rPr>
          <w:rFonts w:hint="eastAsia" w:ascii="仿宋" w:hAnsi="仿宋" w:eastAsia="仿宋"/>
          <w:b/>
          <w:bCs/>
          <w:sz w:val="28"/>
          <w:szCs w:val="28"/>
        </w:rPr>
        <w:t>第十四条</w:t>
      </w:r>
      <w:r>
        <w:rPr>
          <w:rFonts w:hint="eastAsia" w:ascii="仿宋" w:hAnsi="仿宋" w:eastAsia="仿宋"/>
          <w:sz w:val="28"/>
          <w:szCs w:val="28"/>
        </w:rPr>
        <w:t xml:space="preserve"> 本办法由我会秘书处负责解释。</w:t>
      </w:r>
    </w:p>
    <w:p>
      <w:pPr>
        <w:spacing w:line="360" w:lineRule="auto"/>
        <w:ind w:firstLine="562" w:firstLineChars="200"/>
        <w:rPr>
          <w:rFonts w:ascii="仿宋" w:hAnsi="仿宋" w:eastAsia="仿宋" w:cs="宋体"/>
          <w:color w:val="000000"/>
          <w:kern w:val="0"/>
          <w:sz w:val="28"/>
          <w:szCs w:val="28"/>
        </w:rPr>
      </w:pPr>
      <w:r>
        <w:rPr>
          <w:rFonts w:hint="eastAsia" w:ascii="仿宋" w:hAnsi="仿宋" w:eastAsia="仿宋"/>
          <w:b/>
          <w:bCs/>
          <w:sz w:val="28"/>
          <w:szCs w:val="28"/>
        </w:rPr>
        <w:t>第十五条</w:t>
      </w:r>
      <w:r>
        <w:rPr>
          <w:rFonts w:hint="eastAsia" w:ascii="仿宋" w:hAnsi="仿宋" w:eastAsia="仿宋" w:cs="宋体"/>
          <w:b/>
          <w:bCs/>
          <w:color w:val="000000"/>
          <w:kern w:val="0"/>
          <w:sz w:val="28"/>
          <w:szCs w:val="28"/>
        </w:rPr>
        <w:t xml:space="preserve"> </w:t>
      </w:r>
      <w:r>
        <w:rPr>
          <w:rFonts w:hint="eastAsia" w:ascii="仿宋" w:hAnsi="仿宋" w:eastAsia="仿宋"/>
          <w:sz w:val="28"/>
          <w:szCs w:val="28"/>
        </w:rPr>
        <w:t>本办法自</w:t>
      </w:r>
      <w:r>
        <w:rPr>
          <w:rFonts w:ascii="仿宋" w:hAnsi="仿宋" w:eastAsia="仿宋"/>
          <w:sz w:val="28"/>
          <w:szCs w:val="28"/>
        </w:rPr>
        <w:t>20</w:t>
      </w:r>
      <w:r>
        <w:rPr>
          <w:rFonts w:hint="eastAsia" w:ascii="仿宋" w:hAnsi="仿宋" w:eastAsia="仿宋"/>
          <w:sz w:val="28"/>
          <w:szCs w:val="28"/>
        </w:rPr>
        <w:t>20年1</w:t>
      </w:r>
      <w:r>
        <w:rPr>
          <w:rFonts w:ascii="仿宋" w:hAnsi="仿宋" w:eastAsia="仿宋"/>
          <w:sz w:val="28"/>
          <w:szCs w:val="28"/>
        </w:rPr>
        <w:t>0</w:t>
      </w:r>
      <w:r>
        <w:rPr>
          <w:rFonts w:hint="eastAsia" w:ascii="仿宋" w:hAnsi="仿宋" w:eastAsia="仿宋"/>
          <w:sz w:val="28"/>
          <w:szCs w:val="28"/>
        </w:rPr>
        <w:t>月1日起执行</w:t>
      </w:r>
      <w:r>
        <w:rPr>
          <w:rFonts w:ascii="仿宋" w:hAnsi="仿宋" w:eastAsia="仿宋"/>
          <w:sz w:val="28"/>
          <w:szCs w:val="28"/>
        </w:rPr>
        <w:t>,</w:t>
      </w:r>
      <w:r>
        <w:rPr>
          <w:rFonts w:hint="eastAsia" w:ascii="仿宋" w:hAnsi="仿宋" w:eastAsia="仿宋"/>
          <w:sz w:val="28"/>
          <w:szCs w:val="28"/>
        </w:rPr>
        <w:t>自执行日起原使用的</w:t>
      </w:r>
      <w:r>
        <w:rPr>
          <w:rFonts w:ascii="仿宋" w:hAnsi="仿宋" w:eastAsia="仿宋"/>
          <w:sz w:val="28"/>
          <w:szCs w:val="28"/>
        </w:rPr>
        <w:t>2018</w:t>
      </w:r>
      <w:r>
        <w:rPr>
          <w:rFonts w:hint="eastAsia" w:ascii="仿宋" w:hAnsi="仿宋" w:eastAsia="仿宋"/>
          <w:sz w:val="28"/>
          <w:szCs w:val="28"/>
        </w:rPr>
        <w:t>年版同时废止。</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广东省市政行业协会</w:t>
      </w:r>
    </w:p>
    <w:p>
      <w:pPr>
        <w:jc w:val="center"/>
        <w:rPr>
          <w:rFonts w:ascii="仿宋" w:hAnsi="仿宋" w:eastAsia="仿宋"/>
          <w:sz w:val="28"/>
          <w:szCs w:val="28"/>
        </w:rPr>
      </w:pPr>
      <w:r>
        <w:rPr>
          <w:rFonts w:hint="eastAsia" w:ascii="仿宋" w:hAnsi="仿宋" w:eastAsia="仿宋"/>
          <w:sz w:val="28"/>
          <w:szCs w:val="28"/>
        </w:rPr>
        <w:t xml:space="preserve">                             2020年</w:t>
      </w:r>
      <w:r>
        <w:rPr>
          <w:rFonts w:ascii="仿宋" w:hAnsi="仿宋" w:eastAsia="仿宋"/>
          <w:sz w:val="28"/>
          <w:szCs w:val="28"/>
        </w:rPr>
        <w:t>9</w:t>
      </w:r>
      <w:r>
        <w:rPr>
          <w:rFonts w:hint="eastAsia" w:ascii="仿宋" w:hAnsi="仿宋" w:eastAsia="仿宋"/>
          <w:sz w:val="28"/>
          <w:szCs w:val="28"/>
        </w:rPr>
        <w:t>月</w:t>
      </w:r>
      <w:r>
        <w:rPr>
          <w:rFonts w:ascii="仿宋" w:hAnsi="仿宋" w:eastAsia="仿宋"/>
          <w:sz w:val="28"/>
          <w:szCs w:val="28"/>
        </w:rPr>
        <w:t>29</w:t>
      </w:r>
      <w:r>
        <w:rPr>
          <w:rFonts w:hint="eastAsia" w:ascii="仿宋" w:hAnsi="仿宋" w:eastAsia="仿宋"/>
          <w:sz w:val="28"/>
          <w:szCs w:val="28"/>
        </w:rPr>
        <w:t>日</w:t>
      </w:r>
    </w:p>
    <w:p>
      <w:pPr>
        <w:rPr>
          <w:rFonts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附件：</w:t>
      </w:r>
    </w:p>
    <w:p>
      <w:pPr>
        <w:jc w:val="center"/>
        <w:rPr>
          <w:rFonts w:ascii="仿宋" w:hAnsi="仿宋" w:eastAsia="仿宋"/>
          <w:sz w:val="44"/>
          <w:szCs w:val="44"/>
        </w:rPr>
      </w:pPr>
      <w:r>
        <w:rPr>
          <w:rFonts w:hint="eastAsia" w:ascii="仿宋" w:hAnsi="仿宋" w:eastAsia="仿宋"/>
          <w:sz w:val="44"/>
          <w:szCs w:val="44"/>
        </w:rPr>
        <w:t>广东省市政行业协会专家入库流程图</w:t>
      </w:r>
    </w:p>
    <w:p>
      <w:r>
        <mc:AlternateContent>
          <mc:Choice Requires="wps">
            <w:drawing>
              <wp:anchor distT="0" distB="0" distL="114300" distR="114300" simplePos="0" relativeHeight="251660288" behindDoc="0" locked="0" layoutInCell="1" allowOverlap="1">
                <wp:simplePos x="0" y="0"/>
                <wp:positionH relativeFrom="column">
                  <wp:posOffset>1411605</wp:posOffset>
                </wp:positionH>
                <wp:positionV relativeFrom="paragraph">
                  <wp:posOffset>100965</wp:posOffset>
                </wp:positionV>
                <wp:extent cx="2085975" cy="485775"/>
                <wp:effectExtent l="5080" t="4445" r="4445" b="5080"/>
                <wp:wrapNone/>
                <wp:docPr id="2" name="文本框 3"/>
                <wp:cNvGraphicFramePr/>
                <a:graphic xmlns:a="http://schemas.openxmlformats.org/drawingml/2006/main">
                  <a:graphicData uri="http://schemas.microsoft.com/office/word/2010/wordprocessingShape">
                    <wps:wsp>
                      <wps:cNvSpPr txBox="1"/>
                      <wps:spPr>
                        <a:xfrm>
                          <a:off x="0" y="0"/>
                          <a:ext cx="2085975" cy="485775"/>
                        </a:xfrm>
                        <a:prstGeom prst="rect">
                          <a:avLst/>
                        </a:prstGeom>
                        <a:noFill/>
                        <a:ln w="9525" cap="flat" cmpd="sng">
                          <a:solidFill>
                            <a:srgbClr val="000000"/>
                          </a:solidFill>
                          <a:prstDash val="solid"/>
                          <a:miter/>
                          <a:headEnd type="none" w="med" len="med"/>
                          <a:tailEnd type="none" w="med" len="med"/>
                        </a:ln>
                      </wps:spPr>
                      <wps:txbx>
                        <w:txbxContent>
                          <w:p>
                            <w:pPr>
                              <w:jc w:val="center"/>
                              <w:rPr>
                                <w:rStyle w:val="8"/>
                                <w:rFonts w:ascii="仿宋_GB2312" w:eastAsia="仿宋_GB2312"/>
                                <w:sz w:val="28"/>
                                <w:szCs w:val="28"/>
                              </w:rPr>
                            </w:pPr>
                            <w:r>
                              <w:rPr>
                                <w:rStyle w:val="8"/>
                                <w:rFonts w:ascii="仿宋_GB2312" w:eastAsia="仿宋_GB2312"/>
                                <w:sz w:val="28"/>
                                <w:szCs w:val="28"/>
                              </w:rPr>
                              <w:t>阅读入库条件、程序</w:t>
                            </w:r>
                          </w:p>
                          <w:p>
                            <w:pPr>
                              <w:rPr>
                                <w:rStyle w:val="8"/>
                              </w:rPr>
                            </w:pPr>
                          </w:p>
                        </w:txbxContent>
                      </wps:txbx>
                      <wps:bodyPr upright="1"/>
                    </wps:wsp>
                  </a:graphicData>
                </a:graphic>
              </wp:anchor>
            </w:drawing>
          </mc:Choice>
          <mc:Fallback>
            <w:pict>
              <v:shape id="文本框 3" o:spid="_x0000_s1026" o:spt="202" type="#_x0000_t202" style="position:absolute;left:0pt;margin-left:111.15pt;margin-top:7.95pt;height:38.25pt;width:164.25pt;z-index:251660288;mso-width-relative:page;mso-height-relative:page;" filled="f" stroked="t" coordsize="21600,21600" o:gfxdata="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5sed1gAAAAkBAAAPAAAAAAAAAAEAIAAAACIAAABkcnMv&#10;ZG93bnJldi54bWxQSwECFAAUAAAACACHTuJAyWPiLAUCAAANBAAADgAAAAAAAAABACAAAAAlAQAA&#10;ZHJzL2Uyb0RvYy54bWxQSwUGAAAAAAYABgBZAQAAnAUAAAAA&#10;">
                <v:fill on="f" focussize="0,0"/>
                <v:stroke color="#000000" joinstyle="miter"/>
                <v:imagedata o:title=""/>
                <o:lock v:ext="edit" aspectratio="f"/>
                <v:textbox>
                  <w:txbxContent>
                    <w:p>
                      <w:pPr>
                        <w:jc w:val="center"/>
                        <w:rPr>
                          <w:rStyle w:val="8"/>
                          <w:rFonts w:ascii="仿宋_GB2312" w:eastAsia="仿宋_GB2312"/>
                          <w:sz w:val="28"/>
                          <w:szCs w:val="28"/>
                        </w:rPr>
                      </w:pPr>
                      <w:r>
                        <w:rPr>
                          <w:rStyle w:val="8"/>
                          <w:rFonts w:ascii="仿宋_GB2312" w:eastAsia="仿宋_GB2312"/>
                          <w:sz w:val="28"/>
                          <w:szCs w:val="28"/>
                        </w:rPr>
                        <w:t>阅读入库条件、程序</w:t>
                      </w:r>
                    </w:p>
                    <w:p>
                      <w:pPr>
                        <w:rPr>
                          <w:rStyle w:val="8"/>
                        </w:rPr>
                      </w:pPr>
                    </w:p>
                  </w:txbxContent>
                </v:textbox>
              </v:shape>
            </w:pict>
          </mc:Fallback>
        </mc:AlternateContent>
      </w:r>
    </w:p>
    <w:p/>
    <w:p>
      <w:r>
        <mc:AlternateContent>
          <mc:Choice Requires="wps">
            <w:drawing>
              <wp:anchor distT="0" distB="0" distL="114300" distR="114300" simplePos="0" relativeHeight="251660288" behindDoc="0" locked="0" layoutInCell="1" allowOverlap="1">
                <wp:simplePos x="0" y="0"/>
                <wp:positionH relativeFrom="column">
                  <wp:posOffset>2247900</wp:posOffset>
                </wp:positionH>
                <wp:positionV relativeFrom="paragraph">
                  <wp:posOffset>186690</wp:posOffset>
                </wp:positionV>
                <wp:extent cx="266700" cy="342900"/>
                <wp:effectExtent l="26670" t="12700" r="30480" b="25400"/>
                <wp:wrapNone/>
                <wp:docPr id="3" name="自选图形 7"/>
                <wp:cNvGraphicFramePr/>
                <a:graphic xmlns:a="http://schemas.openxmlformats.org/drawingml/2006/main">
                  <a:graphicData uri="http://schemas.microsoft.com/office/word/2010/wordprocessingShape">
                    <wps:wsp>
                      <wps:cNvSpPr/>
                      <wps:spPr>
                        <a:xfrm>
                          <a:off x="0" y="0"/>
                          <a:ext cx="266700" cy="342900"/>
                        </a:xfrm>
                        <a:prstGeom prst="downArrow">
                          <a:avLst>
                            <a:gd name="adj1" fmla="val 50000"/>
                            <a:gd name="adj2" fmla="val 60708"/>
                          </a:avLst>
                        </a:prstGeom>
                        <a:solidFill>
                          <a:srgbClr val="4F81BD"/>
                        </a:solidFill>
                        <a:ln w="25400" cap="flat" cmpd="sng">
                          <a:solidFill>
                            <a:srgbClr val="385D8A"/>
                          </a:solidFill>
                          <a:prstDash val="solid"/>
                          <a:miter/>
                          <a:headEnd type="none" w="med" len="med"/>
                          <a:tailEnd type="none" w="med" len="med"/>
                        </a:ln>
                      </wps:spPr>
                      <wps:bodyPr anchor="ctr" anchorCtr="0" upright="1"/>
                    </wps:wsp>
                  </a:graphicData>
                </a:graphic>
              </wp:anchor>
            </w:drawing>
          </mc:Choice>
          <mc:Fallback>
            <w:pict>
              <v:shape id="自选图形 7" o:spid="_x0000_s1026" o:spt="67" type="#_x0000_t67" style="position:absolute;left:0pt;margin-left:177pt;margin-top:14.7pt;height:27pt;width:21pt;z-index:251660288;v-text-anchor:middle;mso-width-relative:page;mso-height-relative:page;" fillcolor="#4F81BD" filled="t" stroked="t" coordsize="21600,21600" o:gfxdata="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&#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zk66NkAAAAJAQAADwAAAAAAAAABACAAAAAiAAAA&#10;ZHJzL2Rvd25yZXYueG1sUEsBAhQAFAAAAAgAh07iQISSMYc/AgAAlQQAAA4AAAAAAAAAAQAgAAAA&#10;KAEAAGRycy9lMm9Eb2MueG1sUEsFBgAAAAAGAAYAWQEAANkFAAAAAA==&#10;" adj="11402,5400">
                <v:fill on="t" focussize="0,0"/>
                <v:stroke weight="2pt" color="#385D8A" joinstyle="miter"/>
                <v:imagedata o:title=""/>
                <o:lock v:ext="edit" aspectratio="f"/>
              </v:shape>
            </w:pict>
          </mc:Fallback>
        </mc:AlternateContent>
      </w:r>
    </w:p>
    <w:p/>
    <w:p>
      <w:r>
        <mc:AlternateContent>
          <mc:Choice Requires="wps">
            <w:drawing>
              <wp:anchor distT="0" distB="0" distL="114300" distR="114300" simplePos="0" relativeHeight="251660288" behindDoc="0" locked="0" layoutInCell="1" allowOverlap="1">
                <wp:simplePos x="0" y="0"/>
                <wp:positionH relativeFrom="column">
                  <wp:posOffset>694690</wp:posOffset>
                </wp:positionH>
                <wp:positionV relativeFrom="paragraph">
                  <wp:posOffset>136525</wp:posOffset>
                </wp:positionV>
                <wp:extent cx="3667760" cy="1945005"/>
                <wp:effectExtent l="5080" t="4445" r="22860" b="12700"/>
                <wp:wrapNone/>
                <wp:docPr id="4" name="文本框 5"/>
                <wp:cNvGraphicFramePr/>
                <a:graphic xmlns:a="http://schemas.openxmlformats.org/drawingml/2006/main">
                  <a:graphicData uri="http://schemas.microsoft.com/office/word/2010/wordprocessingShape">
                    <wps:wsp>
                      <wps:cNvSpPr txBox="1"/>
                      <wps:spPr>
                        <a:xfrm>
                          <a:off x="0" y="0"/>
                          <a:ext cx="3667760" cy="1945005"/>
                        </a:xfrm>
                        <a:prstGeom prst="rect">
                          <a:avLst/>
                        </a:prstGeom>
                        <a:noFill/>
                        <a:ln w="9525" cap="flat" cmpd="sng">
                          <a:solidFill>
                            <a:srgbClr val="000000"/>
                          </a:solidFill>
                          <a:prstDash val="solid"/>
                          <a:miter/>
                          <a:headEnd type="none" w="med" len="med"/>
                          <a:tailEnd type="none" w="med" len="med"/>
                        </a:ln>
                      </wps:spPr>
                      <wps:txbx>
                        <w:txbxContent>
                          <w:p>
                            <w:pPr>
                              <w:spacing w:line="400" w:lineRule="exact"/>
                              <w:ind w:firstLine="560" w:firstLineChars="200"/>
                              <w:rPr>
                                <w:rStyle w:val="8"/>
                                <w:rFonts w:ascii="仿宋_GB2312" w:eastAsia="仿宋_GB2312"/>
                                <w:sz w:val="28"/>
                                <w:szCs w:val="28"/>
                              </w:rPr>
                            </w:pPr>
                            <w:bookmarkStart w:id="2" w:name="_Hlk53558439"/>
                            <w:r>
                              <w:rPr>
                                <w:rStyle w:val="8"/>
                                <w:rFonts w:hint="eastAsia" w:ascii="仿宋_GB2312" w:eastAsia="仿宋_GB2312"/>
                                <w:sz w:val="28"/>
                                <w:szCs w:val="28"/>
                              </w:rPr>
                              <w:t>登陆</w:t>
                            </w:r>
                            <w:r>
                              <w:rPr>
                                <w:rFonts w:hint="eastAsia" w:ascii="仿宋" w:hAnsi="仿宋" w:eastAsia="仿宋"/>
                                <w:sz w:val="28"/>
                                <w:szCs w:val="28"/>
                              </w:rPr>
                              <w:t>我</w:t>
                            </w:r>
                            <w:r>
                              <w:rPr>
                                <w:rStyle w:val="8"/>
                                <w:rFonts w:hint="eastAsia" w:ascii="仿宋_GB2312" w:eastAsia="仿宋_GB2312"/>
                                <w:sz w:val="28"/>
                                <w:szCs w:val="28"/>
                              </w:rPr>
                              <w:t>会官网点击“专家入库”进入系统填写并下载</w:t>
                            </w:r>
                            <w:r>
                              <w:rPr>
                                <w:rStyle w:val="8"/>
                                <w:rFonts w:ascii="仿宋_GB2312" w:eastAsia="仿宋_GB2312"/>
                                <w:sz w:val="28"/>
                                <w:szCs w:val="28"/>
                              </w:rPr>
                              <w:t>《广东省市政行业</w:t>
                            </w:r>
                            <w:r>
                              <w:rPr>
                                <w:rFonts w:hint="eastAsia" w:ascii="仿宋" w:hAnsi="仿宋" w:eastAsia="仿宋"/>
                                <w:sz w:val="28"/>
                                <w:szCs w:val="28"/>
                              </w:rPr>
                              <w:t>协</w:t>
                            </w:r>
                            <w:r>
                              <w:rPr>
                                <w:rStyle w:val="8"/>
                                <w:rFonts w:ascii="仿宋_GB2312" w:eastAsia="仿宋_GB2312"/>
                                <w:sz w:val="28"/>
                                <w:szCs w:val="28"/>
                              </w:rPr>
                              <w:t>会专家登记表》</w:t>
                            </w:r>
                            <w:r>
                              <w:rPr>
                                <w:rStyle w:val="8"/>
                                <w:rFonts w:hint="eastAsia" w:ascii="仿宋_GB2312" w:eastAsia="仿宋_GB2312"/>
                                <w:sz w:val="28"/>
                                <w:szCs w:val="28"/>
                              </w:rPr>
                              <w:t>，将</w:t>
                            </w:r>
                            <w:r>
                              <w:rPr>
                                <w:rStyle w:val="8"/>
                                <w:rFonts w:ascii="仿宋_GB2312" w:eastAsia="仿宋_GB2312"/>
                                <w:sz w:val="28"/>
                                <w:szCs w:val="28"/>
                              </w:rPr>
                              <w:t>经所在单位签署推荐意见盖章后的原件一份提交或邮寄至</w:t>
                            </w:r>
                            <w:r>
                              <w:rPr>
                                <w:rFonts w:hint="eastAsia" w:ascii="仿宋" w:hAnsi="仿宋" w:eastAsia="仿宋"/>
                                <w:sz w:val="28"/>
                                <w:szCs w:val="28"/>
                              </w:rPr>
                              <w:t>我</w:t>
                            </w:r>
                            <w:r>
                              <w:rPr>
                                <w:rStyle w:val="8"/>
                                <w:rFonts w:ascii="仿宋_GB2312" w:eastAsia="仿宋_GB2312"/>
                                <w:sz w:val="28"/>
                                <w:szCs w:val="28"/>
                              </w:rPr>
                              <w:t>会秘书处（邮寄地址：</w:t>
                            </w:r>
                            <w:bookmarkStart w:id="3" w:name="_Hlk53558597"/>
                            <w:r>
                              <w:rPr>
                                <w:rStyle w:val="8"/>
                                <w:rFonts w:ascii="仿宋_GB2312" w:eastAsia="仿宋_GB2312"/>
                                <w:sz w:val="28"/>
                                <w:szCs w:val="28"/>
                              </w:rPr>
                              <w:t>广州市天河区天河北路618号广东社会科学院A座1203</w:t>
                            </w:r>
                            <w:bookmarkEnd w:id="3"/>
                            <w:r>
                              <w:rPr>
                                <w:rStyle w:val="8"/>
                                <w:rFonts w:ascii="仿宋_GB2312" w:eastAsia="仿宋_GB2312"/>
                                <w:sz w:val="28"/>
                                <w:szCs w:val="28"/>
                              </w:rPr>
                              <w:t>，电话：83373351，联系人：陶卫宜）</w:t>
                            </w:r>
                            <w:bookmarkEnd w:id="2"/>
                          </w:p>
                          <w:p>
                            <w:pPr>
                              <w:rPr>
                                <w:rStyle w:val="8"/>
                              </w:rPr>
                            </w:pPr>
                          </w:p>
                        </w:txbxContent>
                      </wps:txbx>
                      <wps:bodyPr upright="1"/>
                    </wps:wsp>
                  </a:graphicData>
                </a:graphic>
              </wp:anchor>
            </w:drawing>
          </mc:Choice>
          <mc:Fallback>
            <w:pict>
              <v:shape id="文本框 5" o:spid="_x0000_s1026" o:spt="202" type="#_x0000_t202" style="position:absolute;left:0pt;margin-left:54.7pt;margin-top:10.75pt;height:153.15pt;width:288.8pt;z-index:251660288;mso-width-relative:page;mso-height-relative:page;" filled="f" stroked="t" coordsize="21600,21600" o:gfxdata="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&#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o87G1wAAAAoBAAAPAAAAAAAAAAEAIAAAACIAAABk&#10;cnMvZG93bnJldi54bWxQSwECFAAUAAAACACHTuJA/kTGVAcCAAAOBAAADgAAAAAAAAABACAAAAAm&#10;AQAAZHJzL2Uyb0RvYy54bWxQSwUGAAAAAAYABgBZAQAAnwUAAAAA&#10;">
                <v:fill on="f" focussize="0,0"/>
                <v:stroke color="#000000" joinstyle="miter"/>
                <v:imagedata o:title=""/>
                <o:lock v:ext="edit" aspectratio="f"/>
                <v:textbox>
                  <w:txbxContent>
                    <w:p>
                      <w:pPr>
                        <w:spacing w:line="400" w:lineRule="exact"/>
                        <w:ind w:firstLine="560" w:firstLineChars="200"/>
                        <w:rPr>
                          <w:rStyle w:val="8"/>
                          <w:rFonts w:ascii="仿宋_GB2312" w:eastAsia="仿宋_GB2312"/>
                          <w:sz w:val="28"/>
                          <w:szCs w:val="28"/>
                        </w:rPr>
                      </w:pPr>
                      <w:bookmarkStart w:id="2" w:name="_Hlk53558439"/>
                      <w:r>
                        <w:rPr>
                          <w:rStyle w:val="8"/>
                          <w:rFonts w:hint="eastAsia" w:ascii="仿宋_GB2312" w:eastAsia="仿宋_GB2312"/>
                          <w:sz w:val="28"/>
                          <w:szCs w:val="28"/>
                        </w:rPr>
                        <w:t>登陆</w:t>
                      </w:r>
                      <w:r>
                        <w:rPr>
                          <w:rFonts w:hint="eastAsia" w:ascii="仿宋" w:hAnsi="仿宋" w:eastAsia="仿宋"/>
                          <w:sz w:val="28"/>
                          <w:szCs w:val="28"/>
                        </w:rPr>
                        <w:t>我</w:t>
                      </w:r>
                      <w:r>
                        <w:rPr>
                          <w:rStyle w:val="8"/>
                          <w:rFonts w:hint="eastAsia" w:ascii="仿宋_GB2312" w:eastAsia="仿宋_GB2312"/>
                          <w:sz w:val="28"/>
                          <w:szCs w:val="28"/>
                        </w:rPr>
                        <w:t>会官网点击“专家入库”进入系统填写并下载</w:t>
                      </w:r>
                      <w:r>
                        <w:rPr>
                          <w:rStyle w:val="8"/>
                          <w:rFonts w:ascii="仿宋_GB2312" w:eastAsia="仿宋_GB2312"/>
                          <w:sz w:val="28"/>
                          <w:szCs w:val="28"/>
                        </w:rPr>
                        <w:t>《广东省市政行业</w:t>
                      </w:r>
                      <w:r>
                        <w:rPr>
                          <w:rFonts w:hint="eastAsia" w:ascii="仿宋" w:hAnsi="仿宋" w:eastAsia="仿宋"/>
                          <w:sz w:val="28"/>
                          <w:szCs w:val="28"/>
                        </w:rPr>
                        <w:t>协</w:t>
                      </w:r>
                      <w:r>
                        <w:rPr>
                          <w:rStyle w:val="8"/>
                          <w:rFonts w:ascii="仿宋_GB2312" w:eastAsia="仿宋_GB2312"/>
                          <w:sz w:val="28"/>
                          <w:szCs w:val="28"/>
                        </w:rPr>
                        <w:t>会专家登记表》</w:t>
                      </w:r>
                      <w:r>
                        <w:rPr>
                          <w:rStyle w:val="8"/>
                          <w:rFonts w:hint="eastAsia" w:ascii="仿宋_GB2312" w:eastAsia="仿宋_GB2312"/>
                          <w:sz w:val="28"/>
                          <w:szCs w:val="28"/>
                        </w:rPr>
                        <w:t>，将</w:t>
                      </w:r>
                      <w:r>
                        <w:rPr>
                          <w:rStyle w:val="8"/>
                          <w:rFonts w:ascii="仿宋_GB2312" w:eastAsia="仿宋_GB2312"/>
                          <w:sz w:val="28"/>
                          <w:szCs w:val="28"/>
                        </w:rPr>
                        <w:t>经所在单位签署推荐意见盖章后的原件一份提交或邮寄至</w:t>
                      </w:r>
                      <w:r>
                        <w:rPr>
                          <w:rFonts w:hint="eastAsia" w:ascii="仿宋" w:hAnsi="仿宋" w:eastAsia="仿宋"/>
                          <w:sz w:val="28"/>
                          <w:szCs w:val="28"/>
                        </w:rPr>
                        <w:t>我</w:t>
                      </w:r>
                      <w:r>
                        <w:rPr>
                          <w:rStyle w:val="8"/>
                          <w:rFonts w:ascii="仿宋_GB2312" w:eastAsia="仿宋_GB2312"/>
                          <w:sz w:val="28"/>
                          <w:szCs w:val="28"/>
                        </w:rPr>
                        <w:t>会秘书处（邮寄地址：</w:t>
                      </w:r>
                      <w:bookmarkStart w:id="3" w:name="_Hlk53558597"/>
                      <w:r>
                        <w:rPr>
                          <w:rStyle w:val="8"/>
                          <w:rFonts w:ascii="仿宋_GB2312" w:eastAsia="仿宋_GB2312"/>
                          <w:sz w:val="28"/>
                          <w:szCs w:val="28"/>
                        </w:rPr>
                        <w:t>广州市天河区天河北路618号广东社会科学院A座1203</w:t>
                      </w:r>
                      <w:bookmarkEnd w:id="3"/>
                      <w:r>
                        <w:rPr>
                          <w:rStyle w:val="8"/>
                          <w:rFonts w:ascii="仿宋_GB2312" w:eastAsia="仿宋_GB2312"/>
                          <w:sz w:val="28"/>
                          <w:szCs w:val="28"/>
                        </w:rPr>
                        <w:t>，电话：83373351，联系人：陶卫宜）</w:t>
                      </w:r>
                      <w:bookmarkEnd w:id="2"/>
                    </w:p>
                    <w:p>
                      <w:pPr>
                        <w:rPr>
                          <w:rStyle w:val="8"/>
                        </w:rPr>
                      </w:pPr>
                    </w:p>
                  </w:txbxContent>
                </v:textbox>
              </v:shape>
            </w:pict>
          </mc:Fallback>
        </mc:AlternateContent>
      </w:r>
    </w:p>
    <w:p/>
    <w:p/>
    <w:p/>
    <w:p/>
    <w:p/>
    <w:p/>
    <w:p/>
    <w:p/>
    <w:p/>
    <w:p>
      <w:r>
        <mc:AlternateContent>
          <mc:Choice Requires="wps">
            <w:drawing>
              <wp:anchor distT="0" distB="0" distL="114300" distR="114300" simplePos="0" relativeHeight="251660288" behindDoc="0" locked="0" layoutInCell="1" allowOverlap="1">
                <wp:simplePos x="0" y="0"/>
                <wp:positionH relativeFrom="column">
                  <wp:posOffset>2399030</wp:posOffset>
                </wp:positionH>
                <wp:positionV relativeFrom="paragraph">
                  <wp:posOffset>100330</wp:posOffset>
                </wp:positionV>
                <wp:extent cx="266700" cy="342900"/>
                <wp:effectExtent l="26670" t="12700" r="30480" b="25400"/>
                <wp:wrapNone/>
                <wp:docPr id="5" name="自选图形 8"/>
                <wp:cNvGraphicFramePr/>
                <a:graphic xmlns:a="http://schemas.openxmlformats.org/drawingml/2006/main">
                  <a:graphicData uri="http://schemas.microsoft.com/office/word/2010/wordprocessingShape">
                    <wps:wsp>
                      <wps:cNvSpPr/>
                      <wps:spPr>
                        <a:xfrm>
                          <a:off x="0" y="0"/>
                          <a:ext cx="266700" cy="342900"/>
                        </a:xfrm>
                        <a:prstGeom prst="downArrow">
                          <a:avLst>
                            <a:gd name="adj1" fmla="val 50000"/>
                            <a:gd name="adj2" fmla="val 60708"/>
                          </a:avLst>
                        </a:prstGeom>
                        <a:solidFill>
                          <a:srgbClr val="4F81BD"/>
                        </a:solidFill>
                        <a:ln w="25400" cap="flat" cmpd="sng">
                          <a:solidFill>
                            <a:srgbClr val="385D8A"/>
                          </a:solidFill>
                          <a:prstDash val="solid"/>
                          <a:miter/>
                          <a:headEnd type="none" w="med" len="med"/>
                          <a:tailEnd type="none" w="med" len="med"/>
                        </a:ln>
                      </wps:spPr>
                      <wps:bodyPr anchor="ctr" anchorCtr="0" upright="1"/>
                    </wps:wsp>
                  </a:graphicData>
                </a:graphic>
              </wp:anchor>
            </w:drawing>
          </mc:Choice>
          <mc:Fallback>
            <w:pict>
              <v:shape id="自选图形 8" o:spid="_x0000_s1026" o:spt="67" type="#_x0000_t67" style="position:absolute;left:0pt;margin-left:188.9pt;margin-top:7.9pt;height:27pt;width:21pt;z-index:251660288;v-text-anchor:middle;mso-width-relative:page;mso-height-relative:page;" fillcolor="#4F81BD" filled="t" stroked="t" coordsize="21600,21600" o:gfxdata="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&#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0unah1wAAAAkBAAAPAAAAAAAAAAEAIAAAACIAAABk&#10;cnMvZG93bnJldi54bWxQSwECFAAUAAAACACHTuJA26b3FEACAACVBAAADgAAAAAAAAABACAAAAAm&#10;AQAAZHJzL2Uyb0RvYy54bWxQSwUGAAAAAAYABgBZAQAA2AUAAAAA&#10;" adj="11402,5400">
                <v:fill on="t" focussize="0,0"/>
                <v:stroke weight="2pt" color="#385D8A" joinstyle="miter"/>
                <v:imagedata o:title=""/>
                <o:lock v:ext="edit" aspectratio="f"/>
              </v:shape>
            </w:pict>
          </mc:Fallback>
        </mc:AlternateContent>
      </w:r>
    </w:p>
    <w:p/>
    <w:p>
      <w:r>
        <mc:AlternateContent>
          <mc:Choice Requires="wps">
            <w:drawing>
              <wp:anchor distT="0" distB="0" distL="114300" distR="114300" simplePos="0" relativeHeight="251660288" behindDoc="0" locked="0" layoutInCell="1" allowOverlap="1">
                <wp:simplePos x="0" y="0"/>
                <wp:positionH relativeFrom="column">
                  <wp:posOffset>694690</wp:posOffset>
                </wp:positionH>
                <wp:positionV relativeFrom="paragraph">
                  <wp:posOffset>46990</wp:posOffset>
                </wp:positionV>
                <wp:extent cx="3667760" cy="1477010"/>
                <wp:effectExtent l="5080" t="4445" r="22860" b="23495"/>
                <wp:wrapNone/>
                <wp:docPr id="6" name="文本框 4"/>
                <wp:cNvGraphicFramePr/>
                <a:graphic xmlns:a="http://schemas.openxmlformats.org/drawingml/2006/main">
                  <a:graphicData uri="http://schemas.microsoft.com/office/word/2010/wordprocessingShape">
                    <wps:wsp>
                      <wps:cNvSpPr txBox="1"/>
                      <wps:spPr>
                        <a:xfrm>
                          <a:off x="0" y="0"/>
                          <a:ext cx="3667760" cy="1477010"/>
                        </a:xfrm>
                        <a:prstGeom prst="rect">
                          <a:avLst/>
                        </a:prstGeom>
                        <a:noFill/>
                        <a:ln w="9525" cap="flat" cmpd="sng">
                          <a:solidFill>
                            <a:srgbClr val="000000"/>
                          </a:solidFill>
                          <a:prstDash val="solid"/>
                          <a:miter/>
                          <a:headEnd type="none" w="med" len="med"/>
                          <a:tailEnd type="none" w="med" len="med"/>
                        </a:ln>
                      </wps:spPr>
                      <wps:txbx>
                        <w:txbxContent>
                          <w:p>
                            <w:pPr>
                              <w:spacing w:line="400" w:lineRule="exact"/>
                              <w:ind w:firstLine="420" w:firstLineChars="150"/>
                              <w:rPr>
                                <w:rStyle w:val="8"/>
                                <w:rFonts w:ascii="仿宋_GB2312" w:eastAsia="仿宋_GB2312"/>
                                <w:sz w:val="28"/>
                                <w:szCs w:val="28"/>
                              </w:rPr>
                            </w:pPr>
                            <w:bookmarkStart w:id="4" w:name="_Hlk53558521"/>
                            <w:r>
                              <w:rPr>
                                <w:rStyle w:val="8"/>
                                <w:rFonts w:hint="eastAsia" w:ascii="仿宋_GB2312" w:eastAsia="仿宋_GB2312"/>
                                <w:sz w:val="28"/>
                                <w:szCs w:val="28"/>
                              </w:rPr>
                              <w:t>所需上传</w:t>
                            </w:r>
                            <w:r>
                              <w:rPr>
                                <w:rStyle w:val="8"/>
                                <w:rFonts w:ascii="仿宋_GB2312" w:eastAsia="仿宋_GB2312"/>
                                <w:sz w:val="28"/>
                                <w:szCs w:val="28"/>
                              </w:rPr>
                              <w:t>入库资料：</w:t>
                            </w:r>
                          </w:p>
                          <w:p>
                            <w:pPr>
                              <w:spacing w:line="400" w:lineRule="exact"/>
                              <w:rPr>
                                <w:rStyle w:val="8"/>
                                <w:rFonts w:ascii="仿宋_GB2312" w:eastAsia="仿宋_GB2312"/>
                                <w:sz w:val="28"/>
                                <w:szCs w:val="28"/>
                              </w:rPr>
                            </w:pPr>
                            <w:r>
                              <w:rPr>
                                <w:rStyle w:val="8"/>
                                <w:rFonts w:hint="eastAsia" w:ascii="仿宋_GB2312" w:eastAsia="仿宋_GB2312"/>
                                <w:sz w:val="28"/>
                                <w:szCs w:val="28"/>
                              </w:rPr>
                              <w:t>1</w:t>
                            </w:r>
                            <w:r>
                              <w:rPr>
                                <w:rStyle w:val="8"/>
                                <w:rFonts w:ascii="仿宋_GB2312" w:eastAsia="仿宋_GB2312"/>
                                <w:sz w:val="28"/>
                                <w:szCs w:val="28"/>
                              </w:rPr>
                              <w:t>.《广东省市政行业协会专家登记表</w:t>
                            </w:r>
                            <w:r>
                              <w:rPr>
                                <w:rStyle w:val="8"/>
                                <w:rFonts w:hint="eastAsia" w:ascii="仿宋_GB2312" w:eastAsia="仿宋_GB2312"/>
                                <w:sz w:val="28"/>
                                <w:szCs w:val="28"/>
                              </w:rPr>
                              <w:t>》</w:t>
                            </w:r>
                            <w:r>
                              <w:rPr>
                                <w:rStyle w:val="8"/>
                                <w:rFonts w:ascii="仿宋_GB2312" w:eastAsia="仿宋_GB2312"/>
                                <w:sz w:val="28"/>
                                <w:szCs w:val="28"/>
                              </w:rPr>
                              <w:t>；</w:t>
                            </w:r>
                          </w:p>
                          <w:p>
                            <w:pPr>
                              <w:spacing w:line="400" w:lineRule="exact"/>
                              <w:rPr>
                                <w:rStyle w:val="8"/>
                                <w:rFonts w:ascii="仿宋_GB2312" w:eastAsia="仿宋_GB2312"/>
                                <w:sz w:val="28"/>
                                <w:szCs w:val="28"/>
                              </w:rPr>
                            </w:pPr>
                            <w:r>
                              <w:rPr>
                                <w:rStyle w:val="8"/>
                                <w:rFonts w:ascii="仿宋_GB2312" w:eastAsia="仿宋_GB2312"/>
                                <w:sz w:val="28"/>
                                <w:szCs w:val="28"/>
                              </w:rPr>
                              <w:t>2.身份证、学历证书、职称证书扫描件；</w:t>
                            </w:r>
                          </w:p>
                          <w:p>
                            <w:pPr>
                              <w:spacing w:line="400" w:lineRule="exact"/>
                              <w:rPr>
                                <w:rStyle w:val="8"/>
                                <w:rFonts w:ascii="仿宋_GB2312" w:eastAsia="仿宋_GB2312"/>
                                <w:sz w:val="28"/>
                                <w:szCs w:val="28"/>
                              </w:rPr>
                            </w:pPr>
                            <w:r>
                              <w:rPr>
                                <w:rStyle w:val="8"/>
                                <w:rFonts w:hint="eastAsia" w:ascii="仿宋_GB2312" w:eastAsia="仿宋_GB2312"/>
                                <w:sz w:val="28"/>
                                <w:szCs w:val="28"/>
                              </w:rPr>
                              <w:t>3</w:t>
                            </w:r>
                            <w:r>
                              <w:rPr>
                                <w:rStyle w:val="8"/>
                                <w:rFonts w:ascii="仿宋_GB2312" w:eastAsia="仿宋_GB2312"/>
                                <w:sz w:val="28"/>
                                <w:szCs w:val="28"/>
                              </w:rPr>
                              <w:t>.相关执业资格证书扫描件；</w:t>
                            </w:r>
                          </w:p>
                          <w:p>
                            <w:pPr>
                              <w:spacing w:line="400" w:lineRule="exact"/>
                              <w:rPr>
                                <w:rStyle w:val="8"/>
                                <w:rFonts w:ascii="仿宋_GB2312" w:eastAsia="仿宋_GB2312"/>
                                <w:sz w:val="28"/>
                                <w:szCs w:val="28"/>
                              </w:rPr>
                            </w:pPr>
                            <w:r>
                              <w:rPr>
                                <w:rStyle w:val="8"/>
                                <w:rFonts w:hint="eastAsia" w:ascii="仿宋_GB2312" w:eastAsia="仿宋_GB2312"/>
                                <w:sz w:val="28"/>
                                <w:szCs w:val="28"/>
                              </w:rPr>
                              <w:t>4</w:t>
                            </w:r>
                            <w:r>
                              <w:rPr>
                                <w:rStyle w:val="8"/>
                                <w:rFonts w:ascii="仿宋_GB2312" w:eastAsia="仿宋_GB2312"/>
                                <w:sz w:val="28"/>
                                <w:szCs w:val="28"/>
                              </w:rPr>
                              <w:t>.其它相关证明资料扫描件。</w:t>
                            </w:r>
                            <w:bookmarkEnd w:id="4"/>
                          </w:p>
                          <w:p>
                            <w:pPr>
                              <w:rPr>
                                <w:rStyle w:val="8"/>
                              </w:rPr>
                            </w:pPr>
                          </w:p>
                        </w:txbxContent>
                      </wps:txbx>
                      <wps:bodyPr upright="1"/>
                    </wps:wsp>
                  </a:graphicData>
                </a:graphic>
              </wp:anchor>
            </w:drawing>
          </mc:Choice>
          <mc:Fallback>
            <w:pict>
              <v:shape id="文本框 4" o:spid="_x0000_s1026" o:spt="202" type="#_x0000_t202" style="position:absolute;left:0pt;margin-left:54.7pt;margin-top:3.7pt;height:116.3pt;width:288.8pt;z-index:251660288;mso-width-relative:page;mso-height-relative:page;" filled="f" stroked="t" coordsize="21600,21600" o:gfxdata="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wTGcdQAAAAJAQAADwAAAAAAAAABACAAAAAiAAAAZHJzL2Rv&#10;d25yZXYueG1sUEsBAhQAFAAAAAgAh07iQM8c3fMFAgAADgQAAA4AAAAAAAAAAQAgAAAAIwEAAGRy&#10;cy9lMm9Eb2MueG1sUEsFBgAAAAAGAAYAWQEAAJoFAAAAAA==&#10;">
                <v:fill on="f" focussize="0,0"/>
                <v:stroke color="#000000" joinstyle="miter"/>
                <v:imagedata o:title=""/>
                <o:lock v:ext="edit" aspectratio="f"/>
                <v:textbox>
                  <w:txbxContent>
                    <w:p>
                      <w:pPr>
                        <w:spacing w:line="400" w:lineRule="exact"/>
                        <w:ind w:firstLine="420" w:firstLineChars="150"/>
                        <w:rPr>
                          <w:rStyle w:val="8"/>
                          <w:rFonts w:ascii="仿宋_GB2312" w:eastAsia="仿宋_GB2312"/>
                          <w:sz w:val="28"/>
                          <w:szCs w:val="28"/>
                        </w:rPr>
                      </w:pPr>
                      <w:bookmarkStart w:id="4" w:name="_Hlk53558521"/>
                      <w:r>
                        <w:rPr>
                          <w:rStyle w:val="8"/>
                          <w:rFonts w:hint="eastAsia" w:ascii="仿宋_GB2312" w:eastAsia="仿宋_GB2312"/>
                          <w:sz w:val="28"/>
                          <w:szCs w:val="28"/>
                        </w:rPr>
                        <w:t>所需上传</w:t>
                      </w:r>
                      <w:r>
                        <w:rPr>
                          <w:rStyle w:val="8"/>
                          <w:rFonts w:ascii="仿宋_GB2312" w:eastAsia="仿宋_GB2312"/>
                          <w:sz w:val="28"/>
                          <w:szCs w:val="28"/>
                        </w:rPr>
                        <w:t>入库资料：</w:t>
                      </w:r>
                    </w:p>
                    <w:p>
                      <w:pPr>
                        <w:spacing w:line="400" w:lineRule="exact"/>
                        <w:rPr>
                          <w:rStyle w:val="8"/>
                          <w:rFonts w:ascii="仿宋_GB2312" w:eastAsia="仿宋_GB2312"/>
                          <w:sz w:val="28"/>
                          <w:szCs w:val="28"/>
                        </w:rPr>
                      </w:pPr>
                      <w:r>
                        <w:rPr>
                          <w:rStyle w:val="8"/>
                          <w:rFonts w:hint="eastAsia" w:ascii="仿宋_GB2312" w:eastAsia="仿宋_GB2312"/>
                          <w:sz w:val="28"/>
                          <w:szCs w:val="28"/>
                        </w:rPr>
                        <w:t>1</w:t>
                      </w:r>
                      <w:r>
                        <w:rPr>
                          <w:rStyle w:val="8"/>
                          <w:rFonts w:ascii="仿宋_GB2312" w:eastAsia="仿宋_GB2312"/>
                          <w:sz w:val="28"/>
                          <w:szCs w:val="28"/>
                        </w:rPr>
                        <w:t>.《广东省市政行业协会专家登记表</w:t>
                      </w:r>
                      <w:r>
                        <w:rPr>
                          <w:rStyle w:val="8"/>
                          <w:rFonts w:hint="eastAsia" w:ascii="仿宋_GB2312" w:eastAsia="仿宋_GB2312"/>
                          <w:sz w:val="28"/>
                          <w:szCs w:val="28"/>
                        </w:rPr>
                        <w:t>》</w:t>
                      </w:r>
                      <w:r>
                        <w:rPr>
                          <w:rStyle w:val="8"/>
                          <w:rFonts w:ascii="仿宋_GB2312" w:eastAsia="仿宋_GB2312"/>
                          <w:sz w:val="28"/>
                          <w:szCs w:val="28"/>
                        </w:rPr>
                        <w:t>；</w:t>
                      </w:r>
                    </w:p>
                    <w:p>
                      <w:pPr>
                        <w:spacing w:line="400" w:lineRule="exact"/>
                        <w:rPr>
                          <w:rStyle w:val="8"/>
                          <w:rFonts w:ascii="仿宋_GB2312" w:eastAsia="仿宋_GB2312"/>
                          <w:sz w:val="28"/>
                          <w:szCs w:val="28"/>
                        </w:rPr>
                      </w:pPr>
                      <w:r>
                        <w:rPr>
                          <w:rStyle w:val="8"/>
                          <w:rFonts w:ascii="仿宋_GB2312" w:eastAsia="仿宋_GB2312"/>
                          <w:sz w:val="28"/>
                          <w:szCs w:val="28"/>
                        </w:rPr>
                        <w:t>2.身份证、学历证书、职称证书扫描件；</w:t>
                      </w:r>
                    </w:p>
                    <w:p>
                      <w:pPr>
                        <w:spacing w:line="400" w:lineRule="exact"/>
                        <w:rPr>
                          <w:rStyle w:val="8"/>
                          <w:rFonts w:ascii="仿宋_GB2312" w:eastAsia="仿宋_GB2312"/>
                          <w:sz w:val="28"/>
                          <w:szCs w:val="28"/>
                        </w:rPr>
                      </w:pPr>
                      <w:r>
                        <w:rPr>
                          <w:rStyle w:val="8"/>
                          <w:rFonts w:hint="eastAsia" w:ascii="仿宋_GB2312" w:eastAsia="仿宋_GB2312"/>
                          <w:sz w:val="28"/>
                          <w:szCs w:val="28"/>
                        </w:rPr>
                        <w:t>3</w:t>
                      </w:r>
                      <w:r>
                        <w:rPr>
                          <w:rStyle w:val="8"/>
                          <w:rFonts w:ascii="仿宋_GB2312" w:eastAsia="仿宋_GB2312"/>
                          <w:sz w:val="28"/>
                          <w:szCs w:val="28"/>
                        </w:rPr>
                        <w:t>.相关执业资格证书扫描件；</w:t>
                      </w:r>
                    </w:p>
                    <w:p>
                      <w:pPr>
                        <w:spacing w:line="400" w:lineRule="exact"/>
                        <w:rPr>
                          <w:rStyle w:val="8"/>
                          <w:rFonts w:ascii="仿宋_GB2312" w:eastAsia="仿宋_GB2312"/>
                          <w:sz w:val="28"/>
                          <w:szCs w:val="28"/>
                        </w:rPr>
                      </w:pPr>
                      <w:r>
                        <w:rPr>
                          <w:rStyle w:val="8"/>
                          <w:rFonts w:hint="eastAsia" w:ascii="仿宋_GB2312" w:eastAsia="仿宋_GB2312"/>
                          <w:sz w:val="28"/>
                          <w:szCs w:val="28"/>
                        </w:rPr>
                        <w:t>4</w:t>
                      </w:r>
                      <w:r>
                        <w:rPr>
                          <w:rStyle w:val="8"/>
                          <w:rFonts w:ascii="仿宋_GB2312" w:eastAsia="仿宋_GB2312"/>
                          <w:sz w:val="28"/>
                          <w:szCs w:val="28"/>
                        </w:rPr>
                        <w:t>.其它相关证明资料扫描件。</w:t>
                      </w:r>
                      <w:bookmarkEnd w:id="4"/>
                    </w:p>
                    <w:p>
                      <w:pPr>
                        <w:rPr>
                          <w:rStyle w:val="8"/>
                        </w:rPr>
                      </w:pPr>
                    </w:p>
                  </w:txbxContent>
                </v:textbox>
              </v:shape>
            </w:pict>
          </mc:Fallback>
        </mc:AlternateContent>
      </w:r>
    </w:p>
    <w:p/>
    <w:p/>
    <w:p/>
    <w:p/>
    <w:p/>
    <w:p/>
    <w:p>
      <w:r>
        <mc:AlternateContent>
          <mc:Choice Requires="wps">
            <w:drawing>
              <wp:anchor distT="0" distB="0" distL="114300" distR="114300" simplePos="0" relativeHeight="251660288" behindDoc="0" locked="0" layoutInCell="1" allowOverlap="1">
                <wp:simplePos x="0" y="0"/>
                <wp:positionH relativeFrom="column">
                  <wp:posOffset>2399030</wp:posOffset>
                </wp:positionH>
                <wp:positionV relativeFrom="paragraph">
                  <wp:posOffset>137160</wp:posOffset>
                </wp:positionV>
                <wp:extent cx="266700" cy="342900"/>
                <wp:effectExtent l="26670" t="12700" r="30480" b="25400"/>
                <wp:wrapNone/>
                <wp:docPr id="7" name="自选图形 9"/>
                <wp:cNvGraphicFramePr/>
                <a:graphic xmlns:a="http://schemas.openxmlformats.org/drawingml/2006/main">
                  <a:graphicData uri="http://schemas.microsoft.com/office/word/2010/wordprocessingShape">
                    <wps:wsp>
                      <wps:cNvSpPr/>
                      <wps:spPr>
                        <a:xfrm>
                          <a:off x="0" y="0"/>
                          <a:ext cx="266700" cy="342900"/>
                        </a:xfrm>
                        <a:prstGeom prst="downArrow">
                          <a:avLst>
                            <a:gd name="adj1" fmla="val 50000"/>
                            <a:gd name="adj2" fmla="val 60708"/>
                          </a:avLst>
                        </a:prstGeom>
                        <a:solidFill>
                          <a:srgbClr val="4F81BD"/>
                        </a:solidFill>
                        <a:ln w="25400" cap="flat" cmpd="sng">
                          <a:solidFill>
                            <a:srgbClr val="385D8A"/>
                          </a:solidFill>
                          <a:prstDash val="solid"/>
                          <a:miter/>
                          <a:headEnd type="none" w="med" len="med"/>
                          <a:tailEnd type="none" w="med" len="med"/>
                        </a:ln>
                      </wps:spPr>
                      <wps:bodyPr anchor="ctr" anchorCtr="0" upright="1"/>
                    </wps:wsp>
                  </a:graphicData>
                </a:graphic>
              </wp:anchor>
            </w:drawing>
          </mc:Choice>
          <mc:Fallback>
            <w:pict>
              <v:shape id="自选图形 9" o:spid="_x0000_s1026" o:spt="67" type="#_x0000_t67" style="position:absolute;left:0pt;margin-left:188.9pt;margin-top:10.8pt;height:27pt;width:21pt;z-index:251660288;v-text-anchor:middle;mso-width-relative:page;mso-height-relative:page;" fillcolor="#4F81BD" filled="t" stroked="t" coordsize="21600,21600" o:gfxdata="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QI849gAAAAJAQAADwAAAAAAAAABACAAAAAiAAAA&#10;ZHJzL2Rvd25yZXYueG1sUEsBAhQAFAAAAAgAh07iQIfcKdpAAgAAlQQAAA4AAAAAAAAAAQAgAAAA&#10;JwEAAGRycy9lMm9Eb2MueG1sUEsFBgAAAAAGAAYAWQEAANkFAAAAAA==&#10;" adj="11402,5400">
                <v:fill on="t" focussize="0,0"/>
                <v:stroke weight="2pt" color="#385D8A" joinstyle="miter"/>
                <v:imagedata o:title=""/>
                <o:lock v:ext="edit" aspectratio="f"/>
              </v:shape>
            </w:pict>
          </mc:Fallback>
        </mc:AlternateContent>
      </w:r>
    </w:p>
    <w:p/>
    <w:p>
      <w:r>
        <mc:AlternateContent>
          <mc:Choice Requires="wps">
            <w:drawing>
              <wp:anchor distT="0" distB="0" distL="114300" distR="114300" simplePos="0" relativeHeight="251659264" behindDoc="0" locked="0" layoutInCell="1" allowOverlap="1">
                <wp:simplePos x="0" y="0"/>
                <wp:positionH relativeFrom="column">
                  <wp:posOffset>692785</wp:posOffset>
                </wp:positionH>
                <wp:positionV relativeFrom="paragraph">
                  <wp:posOffset>83820</wp:posOffset>
                </wp:positionV>
                <wp:extent cx="3581400" cy="588645"/>
                <wp:effectExtent l="4445" t="5080" r="14605" b="15875"/>
                <wp:wrapNone/>
                <wp:docPr id="1" name="文本框 2"/>
                <wp:cNvGraphicFramePr/>
                <a:graphic xmlns:a="http://schemas.openxmlformats.org/drawingml/2006/main">
                  <a:graphicData uri="http://schemas.microsoft.com/office/word/2010/wordprocessingShape">
                    <wps:wsp>
                      <wps:cNvSpPr txBox="1"/>
                      <wps:spPr>
                        <a:xfrm>
                          <a:off x="0" y="0"/>
                          <a:ext cx="3581400" cy="588645"/>
                        </a:xfrm>
                        <a:prstGeom prst="rect">
                          <a:avLst/>
                        </a:prstGeom>
                        <a:noFill/>
                        <a:ln w="9525" cap="flat" cmpd="sng">
                          <a:solidFill>
                            <a:srgbClr val="000000"/>
                          </a:solidFill>
                          <a:prstDash val="solid"/>
                          <a:miter/>
                          <a:headEnd type="none" w="med" len="med"/>
                          <a:tailEnd type="none" w="med" len="med"/>
                        </a:ln>
                      </wps:spPr>
                      <wps:txbx>
                        <w:txbxContent>
                          <w:p>
                            <w:pPr>
                              <w:spacing w:line="400" w:lineRule="exact"/>
                              <w:ind w:firstLine="560" w:firstLineChars="200"/>
                              <w:rPr>
                                <w:rStyle w:val="8"/>
                                <w:rFonts w:ascii="仿宋_GB2312" w:eastAsia="仿宋_GB2312"/>
                                <w:sz w:val="28"/>
                                <w:szCs w:val="28"/>
                              </w:rPr>
                            </w:pPr>
                            <w:bookmarkStart w:id="5" w:name="_Hlk53558897"/>
                            <w:r>
                              <w:rPr>
                                <w:rStyle w:val="8"/>
                                <w:rFonts w:hint="eastAsia" w:ascii="仿宋_GB2312" w:eastAsia="仿宋_GB2312"/>
                                <w:sz w:val="28"/>
                                <w:szCs w:val="28"/>
                              </w:rPr>
                              <w:t>协会</w:t>
                            </w:r>
                            <w:r>
                              <w:rPr>
                                <w:rStyle w:val="8"/>
                                <w:rFonts w:ascii="仿宋_GB2312" w:eastAsia="仿宋_GB2312"/>
                                <w:sz w:val="28"/>
                                <w:szCs w:val="28"/>
                              </w:rPr>
                              <w:t>秘书处初审入库资料，经专家委员会审批通过，入库存档</w:t>
                            </w:r>
                            <w:bookmarkEnd w:id="5"/>
                          </w:p>
                        </w:txbxContent>
                      </wps:txbx>
                      <wps:bodyPr upright="1"/>
                    </wps:wsp>
                  </a:graphicData>
                </a:graphic>
              </wp:anchor>
            </w:drawing>
          </mc:Choice>
          <mc:Fallback>
            <w:pict>
              <v:shape id="文本框 2" o:spid="_x0000_s1026" o:spt="202" type="#_x0000_t202" style="position:absolute;left:0pt;margin-left:54.55pt;margin-top:6.6pt;height:46.35pt;width:282pt;z-index:251659264;mso-width-relative:page;mso-height-relative:page;" filled="f" stroked="t" coordsize="21600,21600" o:gfxdata="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ba3VAAAACgEAAA8AAAAAAAAAAQAgAAAAIgAAAGRycy9k&#10;b3ducmV2LnhtbFBLAQIUABQAAAAIAIdO4kA9XUsHBQIAAA0EAAAOAAAAAAAAAAEAIAAAACQBAABk&#10;cnMvZTJvRG9jLnhtbFBLBQYAAAAABgAGAFkBAACbBQAAAAA=&#10;">
                <v:fill on="f" focussize="0,0"/>
                <v:stroke color="#000000" joinstyle="miter"/>
                <v:imagedata o:title=""/>
                <o:lock v:ext="edit" aspectratio="f"/>
                <v:textbox>
                  <w:txbxContent>
                    <w:p>
                      <w:pPr>
                        <w:spacing w:line="400" w:lineRule="exact"/>
                        <w:ind w:firstLine="560" w:firstLineChars="200"/>
                        <w:rPr>
                          <w:rStyle w:val="8"/>
                          <w:rFonts w:ascii="仿宋_GB2312" w:eastAsia="仿宋_GB2312"/>
                          <w:sz w:val="28"/>
                          <w:szCs w:val="28"/>
                        </w:rPr>
                      </w:pPr>
                      <w:bookmarkStart w:id="5" w:name="_Hlk53558897"/>
                      <w:r>
                        <w:rPr>
                          <w:rStyle w:val="8"/>
                          <w:rFonts w:hint="eastAsia" w:ascii="仿宋_GB2312" w:eastAsia="仿宋_GB2312"/>
                          <w:sz w:val="28"/>
                          <w:szCs w:val="28"/>
                        </w:rPr>
                        <w:t>协会</w:t>
                      </w:r>
                      <w:r>
                        <w:rPr>
                          <w:rStyle w:val="8"/>
                          <w:rFonts w:ascii="仿宋_GB2312" w:eastAsia="仿宋_GB2312"/>
                          <w:sz w:val="28"/>
                          <w:szCs w:val="28"/>
                        </w:rPr>
                        <w:t>秘书处初审入库资料，经专家委员会审批通过，入库存档</w:t>
                      </w:r>
                      <w:bookmarkEnd w:id="5"/>
                    </w:p>
                  </w:txbxContent>
                </v:textbox>
              </v:shape>
            </w:pict>
          </mc:Fallback>
        </mc:AlternateContent>
      </w:r>
    </w:p>
    <w:p/>
    <w:p/>
    <w:p>
      <w:r>
        <mc:AlternateContent>
          <mc:Choice Requires="wps">
            <w:drawing>
              <wp:anchor distT="0" distB="0" distL="114300" distR="114300" simplePos="0" relativeHeight="251660288" behindDoc="0" locked="0" layoutInCell="1" allowOverlap="1">
                <wp:simplePos x="0" y="0"/>
                <wp:positionH relativeFrom="column">
                  <wp:posOffset>2399030</wp:posOffset>
                </wp:positionH>
                <wp:positionV relativeFrom="paragraph">
                  <wp:posOffset>78105</wp:posOffset>
                </wp:positionV>
                <wp:extent cx="266700" cy="342900"/>
                <wp:effectExtent l="26670" t="12700" r="30480" b="25400"/>
                <wp:wrapNone/>
                <wp:docPr id="8" name="自选图形 10"/>
                <wp:cNvGraphicFramePr/>
                <a:graphic xmlns:a="http://schemas.openxmlformats.org/drawingml/2006/main">
                  <a:graphicData uri="http://schemas.microsoft.com/office/word/2010/wordprocessingShape">
                    <wps:wsp>
                      <wps:cNvSpPr/>
                      <wps:spPr>
                        <a:xfrm>
                          <a:off x="0" y="0"/>
                          <a:ext cx="266700" cy="342900"/>
                        </a:xfrm>
                        <a:prstGeom prst="downArrow">
                          <a:avLst>
                            <a:gd name="adj1" fmla="val 50000"/>
                            <a:gd name="adj2" fmla="val 60708"/>
                          </a:avLst>
                        </a:prstGeom>
                        <a:solidFill>
                          <a:srgbClr val="4F81BD"/>
                        </a:solidFill>
                        <a:ln w="25400" cap="flat" cmpd="sng">
                          <a:solidFill>
                            <a:srgbClr val="385D8A"/>
                          </a:solidFill>
                          <a:prstDash val="solid"/>
                          <a:miter/>
                          <a:headEnd type="none" w="med" len="med"/>
                          <a:tailEnd type="none" w="med" len="med"/>
                        </a:ln>
                      </wps:spPr>
                      <wps:bodyPr anchor="ctr" anchorCtr="0" upright="1"/>
                    </wps:wsp>
                  </a:graphicData>
                </a:graphic>
              </wp:anchor>
            </w:drawing>
          </mc:Choice>
          <mc:Fallback>
            <w:pict>
              <v:shape id="自选图形 10" o:spid="_x0000_s1026" o:spt="67" type="#_x0000_t67" style="position:absolute;left:0pt;margin-left:188.9pt;margin-top:6.15pt;height:27pt;width:21pt;z-index:251660288;v-text-anchor:middle;mso-width-relative:page;mso-height-relative:page;" fillcolor="#4F81BD" filled="t" stroked="t" coordsize="21600,21600" o:gfxdata="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28mxX2AAAAAkBAAAPAAAAAAAAAAEAIAAAACIAAABk&#10;cnMvZG93bnJldi54bWxQSwECFAAUAAAACACHTuJA2Pn42z8CAACWBAAADgAAAAAAAAABACAAAAAn&#10;AQAAZHJzL2Uyb0RvYy54bWxQSwUGAAAAAAYABgBZAQAA2AUAAAAA&#10;" adj="11402,5400">
                <v:fill on="t" focussize="0,0"/>
                <v:stroke weight="2pt" color="#385D8A" joinstyle="miter"/>
                <v:imagedata o:title=""/>
                <o:lock v:ext="edit" aspectratio="f"/>
              </v:shape>
            </w:pict>
          </mc:Fallback>
        </mc:AlternateContent>
      </w:r>
    </w:p>
    <w:p/>
    <w:p>
      <w:r>
        <mc:AlternateContent>
          <mc:Choice Requires="wps">
            <w:drawing>
              <wp:anchor distT="0" distB="0" distL="114300" distR="114300" simplePos="0" relativeHeight="251660288" behindDoc="0" locked="0" layoutInCell="1" allowOverlap="1">
                <wp:simplePos x="0" y="0"/>
                <wp:positionH relativeFrom="column">
                  <wp:posOffset>1546860</wp:posOffset>
                </wp:positionH>
                <wp:positionV relativeFrom="paragraph">
                  <wp:posOffset>24765</wp:posOffset>
                </wp:positionV>
                <wp:extent cx="2038350" cy="514350"/>
                <wp:effectExtent l="4445" t="4445" r="14605" b="14605"/>
                <wp:wrapNone/>
                <wp:docPr id="9" name="文本框 6"/>
                <wp:cNvGraphicFramePr/>
                <a:graphic xmlns:a="http://schemas.openxmlformats.org/drawingml/2006/main">
                  <a:graphicData uri="http://schemas.microsoft.com/office/word/2010/wordprocessingShape">
                    <wps:wsp>
                      <wps:cNvSpPr txBox="1"/>
                      <wps:spPr>
                        <a:xfrm>
                          <a:off x="0" y="0"/>
                          <a:ext cx="2038350" cy="514350"/>
                        </a:xfrm>
                        <a:prstGeom prst="rect">
                          <a:avLst/>
                        </a:prstGeom>
                        <a:noFill/>
                        <a:ln w="9525" cap="flat" cmpd="sng">
                          <a:solidFill>
                            <a:srgbClr val="000000"/>
                          </a:solidFill>
                          <a:prstDash val="solid"/>
                          <a:miter/>
                          <a:headEnd type="none" w="med" len="med"/>
                          <a:tailEnd type="none" w="med" len="med"/>
                        </a:ln>
                      </wps:spPr>
                      <wps:txbx>
                        <w:txbxContent>
                          <w:p>
                            <w:pPr>
                              <w:jc w:val="center"/>
                              <w:rPr>
                                <w:rStyle w:val="8"/>
                                <w:rFonts w:ascii="仿宋_GB2312" w:eastAsia="仿宋_GB2312"/>
                                <w:sz w:val="28"/>
                                <w:szCs w:val="28"/>
                              </w:rPr>
                            </w:pPr>
                            <w:r>
                              <w:rPr>
                                <w:rStyle w:val="8"/>
                                <w:rFonts w:hint="eastAsia" w:ascii="仿宋_GB2312" w:eastAsia="仿宋_GB2312"/>
                                <w:sz w:val="28"/>
                                <w:szCs w:val="28"/>
                              </w:rPr>
                              <w:t>协会</w:t>
                            </w:r>
                            <w:r>
                              <w:rPr>
                                <w:rStyle w:val="8"/>
                                <w:rFonts w:ascii="仿宋_GB2312" w:eastAsia="仿宋_GB2312"/>
                                <w:sz w:val="28"/>
                                <w:szCs w:val="28"/>
                              </w:rPr>
                              <w:t>颁发专家聘书</w:t>
                            </w:r>
                          </w:p>
                          <w:p>
                            <w:pPr>
                              <w:rPr>
                                <w:rStyle w:val="8"/>
                              </w:rPr>
                            </w:pPr>
                          </w:p>
                        </w:txbxContent>
                      </wps:txbx>
                      <wps:bodyPr upright="1"/>
                    </wps:wsp>
                  </a:graphicData>
                </a:graphic>
              </wp:anchor>
            </w:drawing>
          </mc:Choice>
          <mc:Fallback>
            <w:pict>
              <v:shape id="文本框 6" o:spid="_x0000_s1026" o:spt="202" type="#_x0000_t202" style="position:absolute;left:0pt;margin-left:121.8pt;margin-top:1.95pt;height:40.5pt;width:160.5pt;z-index:251660288;mso-width-relative:page;mso-height-relative:page;" filled="f" stroked="t" coordsize="21600,21600" o:gfxdata="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PTfxdYAAAAIAQAADwAAAAAAAAABACAAAAAiAAAAZHJzL2Rv&#10;d25yZXYueG1sUEsBAhQAFAAAAAgAh07iQHQPyy8DAgAADQQAAA4AAAAAAAAAAQAgAAAAJQEAAGRy&#10;cy9lMm9Eb2MueG1sUEsFBgAAAAAGAAYAWQEAAJoFAAAAAA==&#10;">
                <v:fill on="f" focussize="0,0"/>
                <v:stroke color="#000000" joinstyle="miter"/>
                <v:imagedata o:title=""/>
                <o:lock v:ext="edit" aspectratio="f"/>
                <v:textbox>
                  <w:txbxContent>
                    <w:p>
                      <w:pPr>
                        <w:jc w:val="center"/>
                        <w:rPr>
                          <w:rStyle w:val="8"/>
                          <w:rFonts w:ascii="仿宋_GB2312" w:eastAsia="仿宋_GB2312"/>
                          <w:sz w:val="28"/>
                          <w:szCs w:val="28"/>
                        </w:rPr>
                      </w:pPr>
                      <w:r>
                        <w:rPr>
                          <w:rStyle w:val="8"/>
                          <w:rFonts w:hint="eastAsia" w:ascii="仿宋_GB2312" w:eastAsia="仿宋_GB2312"/>
                          <w:sz w:val="28"/>
                          <w:szCs w:val="28"/>
                        </w:rPr>
                        <w:t>协会</w:t>
                      </w:r>
                      <w:r>
                        <w:rPr>
                          <w:rStyle w:val="8"/>
                          <w:rFonts w:ascii="仿宋_GB2312" w:eastAsia="仿宋_GB2312"/>
                          <w:sz w:val="28"/>
                          <w:szCs w:val="28"/>
                        </w:rPr>
                        <w:t>颁发专家聘书</w:t>
                      </w:r>
                    </w:p>
                    <w:p>
                      <w:pPr>
                        <w:rPr>
                          <w:rStyle w:val="8"/>
                        </w:rPr>
                      </w:pPr>
                    </w:p>
                  </w:txbxContent>
                </v:textbox>
              </v:shape>
            </w:pict>
          </mc:Fallback>
        </mc:AlternateContent>
      </w:r>
    </w:p>
    <w:p/>
    <w:p>
      <w:r>
        <mc:AlternateContent>
          <mc:Choice Requires="wps">
            <w:drawing>
              <wp:anchor distT="0" distB="0" distL="114300" distR="114300" simplePos="0" relativeHeight="251660288" behindDoc="0" locked="0" layoutInCell="1" allowOverlap="1">
                <wp:simplePos x="0" y="0"/>
                <wp:positionH relativeFrom="column">
                  <wp:posOffset>2399030</wp:posOffset>
                </wp:positionH>
                <wp:positionV relativeFrom="paragraph">
                  <wp:posOffset>142875</wp:posOffset>
                </wp:positionV>
                <wp:extent cx="266700" cy="342900"/>
                <wp:effectExtent l="26670" t="12700" r="30480" b="25400"/>
                <wp:wrapNone/>
                <wp:docPr id="10" name="自选图形 11"/>
                <wp:cNvGraphicFramePr/>
                <a:graphic xmlns:a="http://schemas.openxmlformats.org/drawingml/2006/main">
                  <a:graphicData uri="http://schemas.microsoft.com/office/word/2010/wordprocessingShape">
                    <wps:wsp>
                      <wps:cNvSpPr/>
                      <wps:spPr>
                        <a:xfrm>
                          <a:off x="0" y="0"/>
                          <a:ext cx="266700" cy="342900"/>
                        </a:xfrm>
                        <a:prstGeom prst="downArrow">
                          <a:avLst>
                            <a:gd name="adj1" fmla="val 50000"/>
                            <a:gd name="adj2" fmla="val 60708"/>
                          </a:avLst>
                        </a:prstGeom>
                        <a:solidFill>
                          <a:srgbClr val="4F81BD"/>
                        </a:solidFill>
                        <a:ln w="25400" cap="flat" cmpd="sng">
                          <a:solidFill>
                            <a:srgbClr val="385D8A"/>
                          </a:solidFill>
                          <a:prstDash val="solid"/>
                          <a:miter/>
                          <a:headEnd type="none" w="med" len="med"/>
                          <a:tailEnd type="none" w="med" len="med"/>
                        </a:ln>
                      </wps:spPr>
                      <wps:bodyPr anchor="ctr" anchorCtr="0" upright="1"/>
                    </wps:wsp>
                  </a:graphicData>
                </a:graphic>
              </wp:anchor>
            </w:drawing>
          </mc:Choice>
          <mc:Fallback>
            <w:pict>
              <v:shape id="自选图形 11" o:spid="_x0000_s1026" o:spt="67" type="#_x0000_t67" style="position:absolute;left:0pt;margin-left:188.9pt;margin-top:11.25pt;height:27pt;width:21pt;z-index:251660288;v-text-anchor:middle;mso-width-relative:page;mso-height-relative:page;" fillcolor="#4F81BD" filled="t" stroked="t" coordsize="21600,21600" o:gfxdata="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CNQtHZAAAACQEAAA8AAAAAAAAAAQAgAAAAIgAA&#10;AGRycy9kb3ducmV2LnhtbFBLAQIUABQAAAAIAIdO4kDYlFtQQAIAAJcEAAAOAAAAAAAAAAEAIAAA&#10;ACgBAABkcnMvZTJvRG9jLnhtbFBLBQYAAAAABgAGAFkBAADaBQAAAAA=&#10;" adj="11402,5400">
                <v:fill on="t" focussize="0,0"/>
                <v:stroke weight="2pt" color="#385D8A" joinstyle="miter"/>
                <v:imagedata o:title=""/>
                <o:lock v:ext="edit" aspectratio="f"/>
              </v:shape>
            </w:pict>
          </mc:Fallback>
        </mc:AlternateContent>
      </w:r>
    </w:p>
    <w:p/>
    <w:p>
      <w:r>
        <mc:AlternateContent>
          <mc:Choice Requires="wps">
            <w:drawing>
              <wp:anchor distT="0" distB="0" distL="114300" distR="114300" simplePos="0" relativeHeight="251660288" behindDoc="0" locked="0" layoutInCell="1" allowOverlap="1">
                <wp:simplePos x="0" y="0"/>
                <wp:positionH relativeFrom="margin">
                  <wp:posOffset>1017905</wp:posOffset>
                </wp:positionH>
                <wp:positionV relativeFrom="paragraph">
                  <wp:posOffset>89535</wp:posOffset>
                </wp:positionV>
                <wp:extent cx="3178810" cy="487680"/>
                <wp:effectExtent l="4445" t="4445" r="17145" b="22225"/>
                <wp:wrapNone/>
                <wp:docPr id="11" name="文本框 12"/>
                <wp:cNvGraphicFramePr/>
                <a:graphic xmlns:a="http://schemas.openxmlformats.org/drawingml/2006/main">
                  <a:graphicData uri="http://schemas.microsoft.com/office/word/2010/wordprocessingShape">
                    <wps:wsp>
                      <wps:cNvSpPr txBox="1"/>
                      <wps:spPr>
                        <a:xfrm>
                          <a:off x="0" y="0"/>
                          <a:ext cx="3178810" cy="487680"/>
                        </a:xfrm>
                        <a:prstGeom prst="rect">
                          <a:avLst/>
                        </a:prstGeom>
                        <a:noFill/>
                        <a:ln w="9525" cap="flat" cmpd="sng">
                          <a:solidFill>
                            <a:srgbClr val="000000"/>
                          </a:solidFill>
                          <a:prstDash val="solid"/>
                          <a:miter/>
                          <a:headEnd type="none" w="med" len="med"/>
                          <a:tailEnd type="none" w="med" len="med"/>
                        </a:ln>
                      </wps:spPr>
                      <wps:txbx>
                        <w:txbxContent>
                          <w:p>
                            <w:pPr>
                              <w:rPr>
                                <w:rStyle w:val="8"/>
                                <w:rFonts w:ascii="仿宋_GB2312" w:eastAsia="仿宋_GB2312"/>
                                <w:sz w:val="28"/>
                                <w:szCs w:val="28"/>
                              </w:rPr>
                            </w:pPr>
                            <w:r>
                              <w:rPr>
                                <w:rStyle w:val="8"/>
                                <w:rFonts w:ascii="仿宋_GB2312" w:eastAsia="仿宋_GB2312"/>
                                <w:sz w:val="28"/>
                                <w:szCs w:val="28"/>
                              </w:rPr>
                              <w:t>受聘后积极参加</w:t>
                            </w:r>
                            <w:r>
                              <w:rPr>
                                <w:rFonts w:hint="eastAsia" w:ascii="仿宋" w:hAnsi="仿宋" w:eastAsia="仿宋"/>
                                <w:sz w:val="28"/>
                                <w:szCs w:val="28"/>
                              </w:rPr>
                              <w:t>我</w:t>
                            </w:r>
                            <w:r>
                              <w:rPr>
                                <w:rStyle w:val="8"/>
                                <w:rFonts w:ascii="仿宋_GB2312" w:eastAsia="仿宋_GB2312"/>
                                <w:sz w:val="28"/>
                                <w:szCs w:val="28"/>
                              </w:rPr>
                              <w:t>会组织的各项活动</w:t>
                            </w:r>
                          </w:p>
                          <w:p>
                            <w:pPr>
                              <w:rPr>
                                <w:rStyle w:val="8"/>
                              </w:rPr>
                            </w:pPr>
                          </w:p>
                        </w:txbxContent>
                      </wps:txbx>
                      <wps:bodyPr upright="1"/>
                    </wps:wsp>
                  </a:graphicData>
                </a:graphic>
              </wp:anchor>
            </w:drawing>
          </mc:Choice>
          <mc:Fallback>
            <w:pict>
              <v:shape id="文本框 12" o:spid="_x0000_s1026" o:spt="202" type="#_x0000_t202" style="position:absolute;left:0pt;margin-left:80.15pt;margin-top:7.05pt;height:38.4pt;width:250.3pt;mso-position-horizontal-relative:margin;z-index:251660288;mso-width-relative:page;mso-height-relative:page;" filled="f" stroked="t" coordsize="21600,21600" o:gfxdata="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&#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3Q1hzVAAAACQEAAA8AAAAAAAAAAQAgAAAAIgAAAGRy&#10;cy9kb3ducmV2LnhtbFBLAQIUABQAAAAIAIdO4kBQLjNdCAIAAA8EAAAOAAAAAAAAAAEAIAAAACQB&#10;AABkcnMvZTJvRG9jLnhtbFBLBQYAAAAABgAGAFkBAACeBQAAAAA=&#10;">
                <v:fill on="f" focussize="0,0"/>
                <v:stroke color="#000000" joinstyle="miter"/>
                <v:imagedata o:title=""/>
                <o:lock v:ext="edit" aspectratio="f"/>
                <v:textbox>
                  <w:txbxContent>
                    <w:p>
                      <w:pPr>
                        <w:rPr>
                          <w:rStyle w:val="8"/>
                          <w:rFonts w:ascii="仿宋_GB2312" w:eastAsia="仿宋_GB2312"/>
                          <w:sz w:val="28"/>
                          <w:szCs w:val="28"/>
                        </w:rPr>
                      </w:pPr>
                      <w:r>
                        <w:rPr>
                          <w:rStyle w:val="8"/>
                          <w:rFonts w:ascii="仿宋_GB2312" w:eastAsia="仿宋_GB2312"/>
                          <w:sz w:val="28"/>
                          <w:szCs w:val="28"/>
                        </w:rPr>
                        <w:t>受聘后积极参加</w:t>
                      </w:r>
                      <w:r>
                        <w:rPr>
                          <w:rFonts w:hint="eastAsia" w:ascii="仿宋" w:hAnsi="仿宋" w:eastAsia="仿宋"/>
                          <w:sz w:val="28"/>
                          <w:szCs w:val="28"/>
                        </w:rPr>
                        <w:t>我</w:t>
                      </w:r>
                      <w:r>
                        <w:rPr>
                          <w:rStyle w:val="8"/>
                          <w:rFonts w:ascii="仿宋_GB2312" w:eastAsia="仿宋_GB2312"/>
                          <w:sz w:val="28"/>
                          <w:szCs w:val="28"/>
                        </w:rPr>
                        <w:t>会组织的各项活动</w:t>
                      </w:r>
                    </w:p>
                    <w:p>
                      <w:pPr>
                        <w:rPr>
                          <w:rStyle w:val="8"/>
                        </w:rPr>
                      </w:pPr>
                    </w:p>
                  </w:txbxContent>
                </v:textbox>
              </v:shape>
            </w:pict>
          </mc:Fallback>
        </mc:AlternateContent>
      </w:r>
    </w:p>
    <w:p/>
    <w:p/>
    <w:p/>
    <w:p/>
    <w:p/>
    <w:sectPr>
      <w:footerReference r:id="rId3" w:type="default"/>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858549"/>
      <w:docPartObj>
        <w:docPartGallery w:val="AutoText"/>
      </w:docPartObj>
    </w:sdtPr>
    <w:sdtContent>
      <w:sdt>
        <w:sdtPr>
          <w:id w:val="1728636285"/>
          <w:docPartObj>
            <w:docPartGallery w:val="AutoText"/>
          </w:docPartObj>
        </w:sdtPr>
        <w:sdtContent>
          <w:p>
            <w:pPr>
              <w:pStyle w:val="3"/>
              <w:jc w:val="center"/>
            </w:pPr>
            <w:r>
              <w:rPr>
                <w:b/>
                <w:bCs/>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b/>
                <w:bCs/>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5"/>
      <w:spacing w:before="0" w:line="14" w:lineRule="auto"/>
      <w:ind w:left="0"/>
      <w:rPr>
        <w:rStyle w:val="8"/>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F6C3F"/>
    <w:multiLevelType w:val="multilevel"/>
    <w:tmpl w:val="005F6C3F"/>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AB57155"/>
    <w:multiLevelType w:val="multilevel"/>
    <w:tmpl w:val="0AB57155"/>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EAC0606"/>
    <w:multiLevelType w:val="multilevel"/>
    <w:tmpl w:val="0EAC0606"/>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08731B3"/>
    <w:multiLevelType w:val="multilevel"/>
    <w:tmpl w:val="108731B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45F2A15"/>
    <w:multiLevelType w:val="multilevel"/>
    <w:tmpl w:val="145F2A1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A4C175B"/>
    <w:multiLevelType w:val="multilevel"/>
    <w:tmpl w:val="1A4C175B"/>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1D57369B"/>
    <w:multiLevelType w:val="multilevel"/>
    <w:tmpl w:val="1D57369B"/>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1ECF1C7B"/>
    <w:multiLevelType w:val="multilevel"/>
    <w:tmpl w:val="1ECF1C7B"/>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1F9A20DC"/>
    <w:multiLevelType w:val="multilevel"/>
    <w:tmpl w:val="1F9A20DC"/>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30306825"/>
    <w:multiLevelType w:val="multilevel"/>
    <w:tmpl w:val="3030682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315829F7"/>
    <w:multiLevelType w:val="multilevel"/>
    <w:tmpl w:val="315829F7"/>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395240FE"/>
    <w:multiLevelType w:val="multilevel"/>
    <w:tmpl w:val="395240F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419947A9"/>
    <w:multiLevelType w:val="multilevel"/>
    <w:tmpl w:val="419947A9"/>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595D1D0C"/>
    <w:multiLevelType w:val="multilevel"/>
    <w:tmpl w:val="595D1D0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8473A8A"/>
    <w:multiLevelType w:val="multilevel"/>
    <w:tmpl w:val="68473A8A"/>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6"/>
  </w:num>
  <w:num w:numId="3">
    <w:abstractNumId w:val="1"/>
  </w:num>
  <w:num w:numId="4">
    <w:abstractNumId w:val="8"/>
  </w:num>
  <w:num w:numId="5">
    <w:abstractNumId w:val="10"/>
  </w:num>
  <w:num w:numId="6">
    <w:abstractNumId w:val="9"/>
  </w:num>
  <w:num w:numId="7">
    <w:abstractNumId w:val="14"/>
  </w:num>
  <w:num w:numId="8">
    <w:abstractNumId w:val="4"/>
  </w:num>
  <w:num w:numId="9">
    <w:abstractNumId w:val="11"/>
  </w:num>
  <w:num w:numId="10">
    <w:abstractNumId w:val="12"/>
  </w:num>
  <w:num w:numId="11">
    <w:abstractNumId w:val="0"/>
  </w:num>
  <w:num w:numId="12">
    <w:abstractNumId w:val="3"/>
  </w:num>
  <w:num w:numId="13">
    <w:abstractNumId w:val="1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4A"/>
    <w:rsid w:val="00100398"/>
    <w:rsid w:val="001055C9"/>
    <w:rsid w:val="0012074A"/>
    <w:rsid w:val="00120B5B"/>
    <w:rsid w:val="001250F5"/>
    <w:rsid w:val="001B41AB"/>
    <w:rsid w:val="002363F3"/>
    <w:rsid w:val="002D5B4C"/>
    <w:rsid w:val="003A13DA"/>
    <w:rsid w:val="00430BDA"/>
    <w:rsid w:val="004E3002"/>
    <w:rsid w:val="00615D52"/>
    <w:rsid w:val="006A74AE"/>
    <w:rsid w:val="00751E88"/>
    <w:rsid w:val="007523E1"/>
    <w:rsid w:val="0097301C"/>
    <w:rsid w:val="00BC60E8"/>
    <w:rsid w:val="00BD3F3D"/>
    <w:rsid w:val="00BF4F8C"/>
    <w:rsid w:val="00C17853"/>
    <w:rsid w:val="00C27C8A"/>
    <w:rsid w:val="00C524DE"/>
    <w:rsid w:val="00CA0D10"/>
    <w:rsid w:val="00CD5E20"/>
    <w:rsid w:val="00F3045F"/>
    <w:rsid w:val="00FA313E"/>
    <w:rsid w:val="5B75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character" w:styleId="7">
    <w:name w:val="Strong"/>
    <w:qFormat/>
    <w:uiPriority w:val="0"/>
    <w:rPr>
      <w:rFonts w:cs="Times New Roman"/>
      <w:b/>
      <w:bCs/>
    </w:rPr>
  </w:style>
  <w:style w:type="character" w:customStyle="1" w:styleId="8">
    <w:name w:val="NormalCharacter"/>
    <w:qFormat/>
    <w:uiPriority w:val="0"/>
  </w:style>
  <w:style w:type="table" w:customStyle="1" w:styleId="9">
    <w:name w:val="TableNormal"/>
    <w:qFormat/>
    <w:uiPriority w:val="0"/>
    <w:tblPr>
      <w:tblCellMar>
        <w:top w:w="0" w:type="dxa"/>
        <w:left w:w="0" w:type="dxa"/>
        <w:bottom w:w="0" w:type="dxa"/>
        <w:right w:w="0" w:type="dxa"/>
      </w:tblCellMar>
    </w:tblPr>
  </w:style>
  <w:style w:type="character" w:customStyle="1" w:styleId="10">
    <w:name w:val="UserStyle_0"/>
    <w:link w:val="11"/>
    <w:semiHidden/>
    <w:qFormat/>
    <w:uiPriority w:val="0"/>
    <w:rPr>
      <w:sz w:val="18"/>
      <w:szCs w:val="18"/>
    </w:rPr>
  </w:style>
  <w:style w:type="paragraph" w:customStyle="1" w:styleId="11">
    <w:name w:val="Acetate"/>
    <w:basedOn w:val="1"/>
    <w:link w:val="10"/>
    <w:uiPriority w:val="0"/>
    <w:rPr>
      <w:sz w:val="18"/>
      <w:szCs w:val="18"/>
    </w:rPr>
  </w:style>
  <w:style w:type="character" w:customStyle="1" w:styleId="12">
    <w:name w:val="页眉 字符"/>
    <w:link w:val="4"/>
    <w:qFormat/>
    <w:uiPriority w:val="0"/>
    <w:rPr>
      <w:sz w:val="18"/>
      <w:szCs w:val="18"/>
    </w:rPr>
  </w:style>
  <w:style w:type="character" w:customStyle="1" w:styleId="13">
    <w:name w:val="页脚 字符"/>
    <w:link w:val="3"/>
    <w:qFormat/>
    <w:uiPriority w:val="99"/>
    <w:rPr>
      <w:sz w:val="18"/>
      <w:szCs w:val="18"/>
    </w:rPr>
  </w:style>
  <w:style w:type="paragraph" w:customStyle="1" w:styleId="14">
    <w:name w:val="UserStyle_3"/>
    <w:basedOn w:val="1"/>
    <w:uiPriority w:val="0"/>
    <w:pPr>
      <w:spacing w:before="300" w:after="300" w:line="375" w:lineRule="atLeast"/>
      <w:jc w:val="center"/>
    </w:pPr>
    <w:rPr>
      <w:rFonts w:ascii="宋体" w:hAnsi="宋体"/>
      <w:color w:val="8A8A8A"/>
      <w:kern w:val="0"/>
      <w:szCs w:val="21"/>
    </w:rPr>
  </w:style>
  <w:style w:type="paragraph" w:customStyle="1" w:styleId="15">
    <w:name w:val="BodyText"/>
    <w:basedOn w:val="1"/>
    <w:qFormat/>
    <w:uiPriority w:val="0"/>
    <w:pPr>
      <w:spacing w:before="214"/>
      <w:ind w:left="120"/>
    </w:pPr>
    <w:rPr>
      <w:rFonts w:ascii="仿宋" w:hAnsi="仿宋" w:eastAsia="仿宋"/>
      <w:sz w:val="32"/>
      <w:szCs w:val="32"/>
      <w:lang w:val="zh-CN" w:bidi="zh-CN"/>
    </w:rPr>
  </w:style>
  <w:style w:type="paragraph" w:customStyle="1" w:styleId="16">
    <w:name w:val="HtmlNormal"/>
    <w:basedOn w:val="1"/>
    <w:qFormat/>
    <w:uiPriority w:val="0"/>
    <w:pPr>
      <w:jc w:val="left"/>
    </w:pPr>
    <w:rPr>
      <w:rFonts w:ascii="宋体" w:hAnsi="宋体"/>
      <w:kern w:val="0"/>
      <w:sz w:val="24"/>
      <w:szCs w:val="24"/>
    </w:rPr>
  </w:style>
  <w:style w:type="paragraph" w:customStyle="1" w:styleId="17">
    <w:name w:val="UserStyle_4"/>
    <w:basedOn w:val="1"/>
    <w:uiPriority w:val="0"/>
    <w:pPr>
      <w:shd w:val="clear" w:color="auto" w:fill="FFFFFF"/>
      <w:spacing w:line="403" w:lineRule="auto"/>
    </w:pPr>
    <w:rPr>
      <w:rFonts w:ascii="MingLiU" w:hAnsi="MingLiU" w:eastAsia="MingLiU"/>
      <w:sz w:val="60"/>
      <w:szCs w:val="60"/>
      <w:lang w:val="zh-CN" w:bidi="zh-CN"/>
    </w:rPr>
  </w:style>
  <w:style w:type="paragraph" w:customStyle="1" w:styleId="18">
    <w:name w:val="179"/>
    <w:basedOn w:val="1"/>
    <w:qFormat/>
    <w:uiPriority w:val="0"/>
    <w:pPr>
      <w:ind w:firstLine="420" w:firstLineChars="200"/>
    </w:pPr>
  </w:style>
  <w:style w:type="paragraph" w:customStyle="1" w:styleId="19">
    <w:name w:val="UserStyle_5"/>
    <w:basedOn w:val="1"/>
    <w:qFormat/>
    <w:uiPriority w:val="0"/>
    <w:pPr>
      <w:spacing w:line="450" w:lineRule="atLeast"/>
      <w:jc w:val="center"/>
    </w:pPr>
    <w:rPr>
      <w:rFonts w:ascii="宋体" w:hAnsi="宋体" w:cs="宋体"/>
      <w:color w:val="4A4A4A"/>
      <w:kern w:val="0"/>
      <w:sz w:val="30"/>
      <w:szCs w:val="30"/>
    </w:rPr>
  </w:style>
  <w:style w:type="table" w:customStyle="1" w:styleId="20">
    <w:name w:val="TableGrid"/>
    <w:basedOn w:val="9"/>
    <w:qFormat/>
    <w:uiPriority w:val="0"/>
  </w:style>
  <w:style w:type="character" w:customStyle="1" w:styleId="2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2671</Words>
  <Characters>2688</Characters>
  <Lines>20</Lines>
  <Paragraphs>5</Paragraphs>
  <TotalTime>138</TotalTime>
  <ScaleCrop>false</ScaleCrop>
  <LinksUpToDate>false</LinksUpToDate>
  <CharactersWithSpaces>2771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2020-09-20T07:22:00Z</dcterms:created>
  <dc:creator>Administrator</dc:creator>
  <cp:lastModifiedBy>何博文</cp:lastModifiedBy>
  <cp:lastPrinted>2020-09-23T05:15:00Z</cp:lastPrinted>
  <dcterms:modified xsi:type="dcterms:W3CDTF">2023-06-08T08:26:38Z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0C9A2E3B2526494F82D2D4A14180FEAA_12</vt:lpwstr>
  </property>
</Properties>
</file>